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6A6387" w14:textId="77777777" w:rsidR="009111D1" w:rsidRDefault="009111D1" w:rsidP="00F168C2">
      <w:pPr>
        <w:ind w:left="426" w:hanging="426"/>
        <w:jc w:val="center"/>
      </w:pPr>
    </w:p>
    <w:p w14:paraId="6101A127" w14:textId="26C5CEC8" w:rsidR="00F168C2" w:rsidRPr="00BA4E28" w:rsidRDefault="009111D1" w:rsidP="00F168C2">
      <w:pPr>
        <w:pStyle w:val="ListParagraph"/>
        <w:ind w:left="426"/>
        <w:jc w:val="center"/>
        <w:rPr>
          <w:rFonts w:cs="Times New Roman"/>
          <w:b/>
          <w:sz w:val="28"/>
          <w:szCs w:val="28"/>
        </w:rPr>
      </w:pPr>
      <w:r w:rsidRPr="00BA4E28">
        <w:rPr>
          <w:rFonts w:cs="Times New Roman"/>
          <w:b/>
          <w:sz w:val="28"/>
          <w:szCs w:val="28"/>
        </w:rPr>
        <w:t xml:space="preserve">SCIENTIFIC EVIDENCE IN SUPPORT OF </w:t>
      </w:r>
      <w:r w:rsidR="00F168C2" w:rsidRPr="00BA4E28">
        <w:rPr>
          <w:rFonts w:cs="Times New Roman"/>
          <w:b/>
          <w:sz w:val="28"/>
          <w:szCs w:val="28"/>
        </w:rPr>
        <w:t>UNITED NATIONS EASTBOURNE</w:t>
      </w:r>
    </w:p>
    <w:p w14:paraId="4D4BB6FE" w14:textId="2AF05535" w:rsidR="009111D1" w:rsidRPr="00BA4E28" w:rsidRDefault="009111D1" w:rsidP="00F168C2">
      <w:pPr>
        <w:pStyle w:val="ListParagraph"/>
        <w:ind w:left="426"/>
        <w:jc w:val="center"/>
        <w:rPr>
          <w:rFonts w:cs="Times New Roman"/>
          <w:b/>
          <w:sz w:val="28"/>
          <w:szCs w:val="28"/>
        </w:rPr>
      </w:pPr>
      <w:r w:rsidRPr="00BA4E28">
        <w:rPr>
          <w:rFonts w:cs="Times New Roman"/>
          <w:b/>
          <w:sz w:val="28"/>
          <w:szCs w:val="28"/>
        </w:rPr>
        <w:t>MVULE PROJECT FOR CARBON CAPTURE</w:t>
      </w:r>
    </w:p>
    <w:p w14:paraId="5BD6142A" w14:textId="77777777" w:rsidR="009111D1" w:rsidRDefault="009111D1" w:rsidP="009111D1">
      <w:pPr>
        <w:pStyle w:val="ListParagraph"/>
        <w:ind w:left="426" w:hanging="426"/>
        <w:jc w:val="both"/>
        <w:rPr>
          <w:rFonts w:cs="Times New Roman"/>
          <w:b/>
        </w:rPr>
      </w:pPr>
    </w:p>
    <w:p w14:paraId="046BC782" w14:textId="1EA28507" w:rsidR="009111D1" w:rsidRPr="009111D1" w:rsidRDefault="009111D1" w:rsidP="009111D1">
      <w:pPr>
        <w:pStyle w:val="ListParagraph"/>
        <w:ind w:left="426" w:hanging="426"/>
        <w:jc w:val="both"/>
        <w:rPr>
          <w:rFonts w:cs="Times New Roman"/>
          <w:b/>
          <w:sz w:val="28"/>
          <w:szCs w:val="28"/>
        </w:rPr>
      </w:pPr>
      <w:r w:rsidRPr="009111D1">
        <w:rPr>
          <w:rFonts w:cs="Times New Roman"/>
          <w:b/>
          <w:sz w:val="28"/>
          <w:szCs w:val="28"/>
        </w:rPr>
        <w:t>Sections:</w:t>
      </w:r>
    </w:p>
    <w:p w14:paraId="57D8E33D" w14:textId="4A81FECB" w:rsidR="009111D1" w:rsidRPr="0081506F" w:rsidRDefault="009111D1" w:rsidP="0081506F">
      <w:pPr>
        <w:pStyle w:val="ListParagraph"/>
        <w:numPr>
          <w:ilvl w:val="0"/>
          <w:numId w:val="31"/>
        </w:numPr>
        <w:jc w:val="both"/>
        <w:rPr>
          <w:bCs/>
          <w:sz w:val="28"/>
          <w:szCs w:val="28"/>
        </w:rPr>
      </w:pPr>
      <w:r w:rsidRPr="0081506F">
        <w:rPr>
          <w:bCs/>
          <w:sz w:val="28"/>
          <w:szCs w:val="28"/>
        </w:rPr>
        <w:t xml:space="preserve">Mvule’s highly efficient carbon capture </w:t>
      </w:r>
    </w:p>
    <w:p w14:paraId="0AF789D8" w14:textId="11F3CA40" w:rsidR="009111D1" w:rsidRDefault="009111D1" w:rsidP="009111D1">
      <w:pPr>
        <w:pStyle w:val="ListParagraph"/>
        <w:numPr>
          <w:ilvl w:val="0"/>
          <w:numId w:val="31"/>
        </w:numPr>
        <w:jc w:val="both"/>
        <w:rPr>
          <w:rFonts w:cs="Times New Roman"/>
          <w:bCs/>
          <w:sz w:val="28"/>
          <w:szCs w:val="28"/>
        </w:rPr>
      </w:pPr>
      <w:r w:rsidRPr="009111D1">
        <w:rPr>
          <w:rFonts w:cs="Times New Roman"/>
          <w:bCs/>
          <w:sz w:val="28"/>
          <w:szCs w:val="28"/>
        </w:rPr>
        <w:t>Beneficial companion planting with Mvule</w:t>
      </w:r>
    </w:p>
    <w:p w14:paraId="50A2BB43" w14:textId="43CC21E2" w:rsidR="0081506F" w:rsidRPr="0081506F" w:rsidRDefault="0081506F" w:rsidP="0081506F">
      <w:pPr>
        <w:ind w:left="1080"/>
        <w:jc w:val="both"/>
        <w:rPr>
          <w:bCs/>
          <w:sz w:val="28"/>
          <w:szCs w:val="28"/>
        </w:rPr>
      </w:pPr>
      <w:r>
        <w:rPr>
          <w:bCs/>
          <w:sz w:val="28"/>
          <w:szCs w:val="28"/>
        </w:rPr>
        <w:t xml:space="preserve">B1. </w:t>
      </w:r>
      <w:r w:rsidRPr="0081506F">
        <w:rPr>
          <w:bCs/>
          <w:sz w:val="28"/>
          <w:szCs w:val="28"/>
        </w:rPr>
        <w:t>Maesopsis eminii</w:t>
      </w:r>
    </w:p>
    <w:p w14:paraId="3230E1FF" w14:textId="6BEFF304" w:rsidR="0081506F" w:rsidRPr="0081506F" w:rsidRDefault="0081506F" w:rsidP="0081506F">
      <w:pPr>
        <w:ind w:left="1080"/>
        <w:jc w:val="both"/>
        <w:rPr>
          <w:bCs/>
          <w:sz w:val="28"/>
          <w:szCs w:val="28"/>
        </w:rPr>
      </w:pPr>
      <w:r>
        <w:rPr>
          <w:bCs/>
          <w:sz w:val="28"/>
          <w:szCs w:val="28"/>
        </w:rPr>
        <w:t xml:space="preserve">B2. </w:t>
      </w:r>
      <w:r w:rsidRPr="0081506F">
        <w:rPr>
          <w:bCs/>
          <w:sz w:val="28"/>
          <w:szCs w:val="28"/>
        </w:rPr>
        <w:t>Terminalia superba</w:t>
      </w:r>
    </w:p>
    <w:p w14:paraId="729C98EF" w14:textId="3809FA52" w:rsidR="009111D1" w:rsidRPr="009111D1" w:rsidRDefault="009111D1" w:rsidP="009111D1">
      <w:pPr>
        <w:pStyle w:val="ListParagraph"/>
        <w:numPr>
          <w:ilvl w:val="0"/>
          <w:numId w:val="31"/>
        </w:numPr>
        <w:jc w:val="both"/>
        <w:rPr>
          <w:rFonts w:cs="Times New Roman"/>
          <w:bCs/>
          <w:sz w:val="28"/>
          <w:szCs w:val="28"/>
        </w:rPr>
      </w:pPr>
      <w:r w:rsidRPr="009111D1">
        <w:rPr>
          <w:rFonts w:cs="Times New Roman"/>
          <w:bCs/>
          <w:sz w:val="28"/>
          <w:szCs w:val="28"/>
        </w:rPr>
        <w:t xml:space="preserve">Biomass calculations &amp; carbon capture </w:t>
      </w:r>
    </w:p>
    <w:p w14:paraId="71D4E896" w14:textId="68F89A0D" w:rsidR="009111D1" w:rsidRPr="009111D1" w:rsidRDefault="009111D1" w:rsidP="009111D1">
      <w:pPr>
        <w:pStyle w:val="ListParagraph"/>
        <w:numPr>
          <w:ilvl w:val="0"/>
          <w:numId w:val="31"/>
        </w:numPr>
        <w:jc w:val="both"/>
        <w:rPr>
          <w:rFonts w:cs="Times New Roman"/>
          <w:bCs/>
          <w:sz w:val="28"/>
          <w:szCs w:val="28"/>
        </w:rPr>
      </w:pPr>
      <w:r w:rsidRPr="009111D1">
        <w:rPr>
          <w:rFonts w:cs="Times New Roman"/>
          <w:bCs/>
          <w:sz w:val="28"/>
          <w:szCs w:val="28"/>
        </w:rPr>
        <w:t>Above ground biomass &amp; stem rot</w:t>
      </w:r>
    </w:p>
    <w:p w14:paraId="243AE36E" w14:textId="3BD0A471" w:rsidR="009111D1" w:rsidRPr="009111D1" w:rsidRDefault="009111D1" w:rsidP="009111D1">
      <w:pPr>
        <w:pStyle w:val="ListParagraph"/>
        <w:numPr>
          <w:ilvl w:val="0"/>
          <w:numId w:val="31"/>
        </w:numPr>
        <w:jc w:val="both"/>
        <w:rPr>
          <w:rFonts w:cs="Times New Roman"/>
          <w:bCs/>
          <w:sz w:val="28"/>
          <w:szCs w:val="28"/>
        </w:rPr>
      </w:pPr>
      <w:r w:rsidRPr="009111D1">
        <w:rPr>
          <w:rFonts w:cs="Times New Roman"/>
          <w:bCs/>
          <w:sz w:val="28"/>
          <w:szCs w:val="28"/>
        </w:rPr>
        <w:t xml:space="preserve">Importance of tropical tree planting </w:t>
      </w:r>
    </w:p>
    <w:p w14:paraId="4E416475" w14:textId="0081B062" w:rsidR="009111D1" w:rsidRDefault="009111D1" w:rsidP="009111D1">
      <w:pPr>
        <w:pStyle w:val="ListParagraph"/>
        <w:numPr>
          <w:ilvl w:val="0"/>
          <w:numId w:val="31"/>
        </w:numPr>
        <w:jc w:val="both"/>
        <w:rPr>
          <w:rFonts w:cs="Times New Roman"/>
          <w:bCs/>
          <w:sz w:val="28"/>
          <w:szCs w:val="28"/>
        </w:rPr>
      </w:pPr>
      <w:r w:rsidRPr="009111D1">
        <w:rPr>
          <w:rFonts w:cs="Times New Roman"/>
          <w:bCs/>
          <w:sz w:val="28"/>
          <w:szCs w:val="28"/>
        </w:rPr>
        <w:t>Climate related scientific evidence relevant to Uganda</w:t>
      </w:r>
    </w:p>
    <w:p w14:paraId="0A585FE5" w14:textId="79B0D2B6" w:rsidR="007821B9" w:rsidRPr="009111D1" w:rsidRDefault="007821B9" w:rsidP="009111D1">
      <w:pPr>
        <w:pStyle w:val="ListParagraph"/>
        <w:numPr>
          <w:ilvl w:val="0"/>
          <w:numId w:val="31"/>
        </w:numPr>
        <w:jc w:val="both"/>
        <w:rPr>
          <w:rFonts w:cs="Times New Roman"/>
          <w:bCs/>
          <w:sz w:val="28"/>
          <w:szCs w:val="28"/>
        </w:rPr>
      </w:pPr>
      <w:r>
        <w:rPr>
          <w:rFonts w:cs="Times New Roman"/>
          <w:bCs/>
          <w:sz w:val="28"/>
          <w:szCs w:val="28"/>
        </w:rPr>
        <w:t>Evaluation of tree projects for carbon sequestration</w:t>
      </w:r>
    </w:p>
    <w:p w14:paraId="177F0474" w14:textId="77777777" w:rsidR="009111D1" w:rsidRDefault="009111D1" w:rsidP="009111D1">
      <w:pPr>
        <w:pStyle w:val="ListParagraph"/>
        <w:ind w:left="426"/>
        <w:jc w:val="both"/>
        <w:rPr>
          <w:rFonts w:cs="Times New Roman"/>
          <w:b/>
        </w:rPr>
      </w:pPr>
    </w:p>
    <w:p w14:paraId="13AC67B6" w14:textId="30FB5EF4" w:rsidR="0055007E" w:rsidRPr="0081506F" w:rsidRDefault="0055007E" w:rsidP="0081506F">
      <w:pPr>
        <w:pStyle w:val="ListParagraph"/>
        <w:numPr>
          <w:ilvl w:val="0"/>
          <w:numId w:val="41"/>
        </w:numPr>
        <w:ind w:hanging="720"/>
        <w:jc w:val="both"/>
        <w:rPr>
          <w:b/>
        </w:rPr>
      </w:pPr>
      <w:r w:rsidRPr="0081506F">
        <w:rPr>
          <w:b/>
        </w:rPr>
        <w:t>THE SCIENTIFIC EVIDENCE FOR MVULE’S HIGHLY EFFICIENT CARBON CAPTURE</w:t>
      </w:r>
    </w:p>
    <w:p w14:paraId="6DF3D9AB" w14:textId="167F318C" w:rsidR="0029454F" w:rsidRPr="002709CC" w:rsidRDefault="0029454F" w:rsidP="00705CF2">
      <w:pPr>
        <w:spacing w:before="100" w:beforeAutospacing="1" w:after="100" w:afterAutospacing="1"/>
        <w:jc w:val="both"/>
      </w:pPr>
      <w:r w:rsidRPr="002709CC">
        <w:t xml:space="preserve">In recent years considerable research has been conducted on the special oxalogenic properties of </w:t>
      </w:r>
      <w:r w:rsidRPr="002709CC">
        <w:rPr>
          <w:i/>
          <w:iCs/>
        </w:rPr>
        <w:t>M</w:t>
      </w:r>
      <w:r w:rsidR="0051741D">
        <w:rPr>
          <w:i/>
          <w:iCs/>
        </w:rPr>
        <w:t>i</w:t>
      </w:r>
      <w:r w:rsidRPr="002709CC">
        <w:rPr>
          <w:i/>
          <w:iCs/>
        </w:rPr>
        <w:t xml:space="preserve">licia excelsa </w:t>
      </w:r>
      <w:r w:rsidR="00F47B22" w:rsidRPr="002709CC">
        <w:t>(</w:t>
      </w:r>
      <w:r w:rsidRPr="002709CC">
        <w:t>known in East Africa as mvule and West Africa as iroko</w:t>
      </w:r>
      <w:r w:rsidR="00F47B22" w:rsidRPr="002709CC">
        <w:t>)</w:t>
      </w:r>
      <w:r w:rsidRPr="002709CC">
        <w:t xml:space="preserve">. The carbonate-oxalate pathway of this tree species has proved to be a newly identified and neglected carbon sink. Below are key research papers amongst the increasing number of </w:t>
      </w:r>
      <w:r w:rsidR="000257C1">
        <w:t xml:space="preserve">scientific studies </w:t>
      </w:r>
      <w:r w:rsidRPr="002709CC">
        <w:t xml:space="preserve">on the special role of Mvule as an efficient agent for long-term carbon storage. </w:t>
      </w:r>
    </w:p>
    <w:p w14:paraId="581363B1" w14:textId="77777777" w:rsidR="009B22FE" w:rsidRPr="002709CC" w:rsidRDefault="009B22FE" w:rsidP="00705CF2">
      <w:pPr>
        <w:contextualSpacing/>
        <w:jc w:val="both"/>
        <w:rPr>
          <w:rFonts w:cstheme="minorHAnsi"/>
          <w:b/>
        </w:rPr>
      </w:pPr>
      <w:r w:rsidRPr="002709CC">
        <w:rPr>
          <w:rFonts w:cstheme="minorHAnsi"/>
          <w:b/>
          <w:u w:val="single"/>
        </w:rPr>
        <w:t>Sources</w:t>
      </w:r>
      <w:r w:rsidRPr="002709CC">
        <w:rPr>
          <w:rFonts w:cstheme="minorHAnsi"/>
          <w:b/>
        </w:rPr>
        <w:t>:</w:t>
      </w:r>
    </w:p>
    <w:p w14:paraId="251B5E3C" w14:textId="629E5836" w:rsidR="009B22FE" w:rsidRPr="00F168C2" w:rsidRDefault="009B22FE" w:rsidP="0041686F">
      <w:pPr>
        <w:pStyle w:val="nova-e-listitem"/>
        <w:numPr>
          <w:ilvl w:val="0"/>
          <w:numId w:val="34"/>
        </w:numPr>
        <w:spacing w:after="120" w:afterAutospacing="0"/>
        <w:ind w:left="426" w:hanging="426"/>
        <w:rPr>
          <w:rFonts w:ascii="Arial" w:hAnsi="Arial" w:cs="Arial"/>
          <w:color w:val="777777"/>
        </w:rPr>
      </w:pPr>
      <w:r w:rsidRPr="002709CC">
        <w:rPr>
          <w:b/>
        </w:rPr>
        <w:t xml:space="preserve">Braissant, Olivier, </w:t>
      </w:r>
      <w:r w:rsidR="004D6896" w:rsidRPr="002709CC">
        <w:rPr>
          <w:b/>
          <w:iCs/>
        </w:rPr>
        <w:t>et al.</w:t>
      </w:r>
      <w:r w:rsidRPr="002709CC">
        <w:rPr>
          <w:b/>
        </w:rPr>
        <w:t xml:space="preserve"> 200</w:t>
      </w:r>
      <w:r w:rsidR="00F168C2">
        <w:rPr>
          <w:b/>
        </w:rPr>
        <w:t>4</w:t>
      </w:r>
      <w:r w:rsidRPr="002709CC">
        <w:rPr>
          <w:b/>
        </w:rPr>
        <w:t xml:space="preserve">. </w:t>
      </w:r>
      <w:r w:rsidRPr="002709CC">
        <w:rPr>
          <w:b/>
          <w:i/>
        </w:rPr>
        <w:t>Biologically induced mineralization in the tree Milicia excelsa (Moraceae): its causes and consequences to the environment.</w:t>
      </w:r>
      <w:r w:rsidR="00F168C2">
        <w:rPr>
          <w:b/>
        </w:rPr>
        <w:t xml:space="preserve"> Geobiology 2(1) DOI:</w:t>
      </w:r>
      <w:r w:rsidR="00F168C2">
        <w:rPr>
          <w:rFonts w:ascii="Arial" w:hAnsi="Arial" w:cs="Arial"/>
          <w:color w:val="777777"/>
        </w:rPr>
        <w:t xml:space="preserve"> 10.1111/J.1472-4677.2004.00019.x </w:t>
      </w:r>
      <w:r w:rsidRPr="00F168C2">
        <w:rPr>
          <w:bCs/>
        </w:rPr>
        <w:t>University of Neuchâtel, Institutes of Geology and Botany.</w:t>
      </w:r>
      <w:r w:rsidRPr="00F168C2">
        <w:rPr>
          <w:b/>
        </w:rPr>
        <w:t xml:space="preserve"> </w:t>
      </w:r>
      <w:r w:rsidR="007B041F" w:rsidRPr="00F168C2">
        <w:rPr>
          <w:b/>
        </w:rPr>
        <w:t xml:space="preserve"> </w:t>
      </w:r>
      <w:r w:rsidR="007B041F" w:rsidRPr="002709CC">
        <w:t xml:space="preserve">(Note: </w:t>
      </w:r>
      <w:r w:rsidR="006C1665" w:rsidRPr="002709CC">
        <w:t>In recent</w:t>
      </w:r>
      <w:r w:rsidR="0055007E" w:rsidRPr="002709CC">
        <w:t xml:space="preserve"> years considerable research has been conducted on the special oxalogenic properties of </w:t>
      </w:r>
      <w:r w:rsidR="0055007E" w:rsidRPr="00F168C2">
        <w:rPr>
          <w:i/>
        </w:rPr>
        <w:t>M</w:t>
      </w:r>
      <w:r w:rsidR="002A0E1F" w:rsidRPr="00F168C2">
        <w:rPr>
          <w:i/>
        </w:rPr>
        <w:t>i</w:t>
      </w:r>
      <w:r w:rsidR="0055007E" w:rsidRPr="00F168C2">
        <w:rPr>
          <w:i/>
        </w:rPr>
        <w:t>licia excelsa</w:t>
      </w:r>
      <w:r w:rsidR="0055007E" w:rsidRPr="002709CC">
        <w:t xml:space="preserve"> known in East Africa as </w:t>
      </w:r>
      <w:r w:rsidR="0055007E" w:rsidRPr="00F168C2">
        <w:rPr>
          <w:u w:val="single"/>
        </w:rPr>
        <w:t>mvule</w:t>
      </w:r>
      <w:r w:rsidR="0055007E" w:rsidRPr="002709CC">
        <w:t xml:space="preserve"> and West Africa as </w:t>
      </w:r>
      <w:r w:rsidR="0055007E" w:rsidRPr="00F168C2">
        <w:rPr>
          <w:u w:val="single"/>
        </w:rPr>
        <w:t>iroko</w:t>
      </w:r>
      <w:r w:rsidR="0055007E" w:rsidRPr="002709CC">
        <w:t xml:space="preserve">.  The carbonate-oxalate pathway </w:t>
      </w:r>
      <w:r w:rsidR="006C1665" w:rsidRPr="002709CC">
        <w:t>of this tree species has proved to be a newly identified and neglected carbon sink</w:t>
      </w:r>
      <w:r w:rsidR="00FB5367" w:rsidRPr="002709CC">
        <w:t>)</w:t>
      </w:r>
      <w:r w:rsidR="00F168C2">
        <w:t>.</w:t>
      </w:r>
    </w:p>
    <w:p w14:paraId="19A381A3" w14:textId="77777777" w:rsidR="00115A92" w:rsidRDefault="00AA39F1" w:rsidP="00115A92">
      <w:pPr>
        <w:ind w:left="426"/>
        <w:contextualSpacing/>
        <w:jc w:val="both"/>
      </w:pPr>
      <w:r w:rsidRPr="002709CC">
        <w:t xml:space="preserve">“(The) abundance of carbonate minerals within </w:t>
      </w:r>
      <w:r w:rsidRPr="002709CC">
        <w:rPr>
          <w:i/>
        </w:rPr>
        <w:t>M. excelsa</w:t>
      </w:r>
      <w:r w:rsidRPr="002709CC">
        <w:t xml:space="preserve"> testifies to the fact that the inorganic sink is of great significance to the terrestrial carbon cycle… the sustainability of a carbon pool is also an important point: time residence for organic matter and mineral carbon in soil are at least 10</w:t>
      </w:r>
      <w:r w:rsidRPr="002709CC">
        <w:rPr>
          <w:vertAlign w:val="superscript"/>
        </w:rPr>
        <w:t>1</w:t>
      </w:r>
      <w:r w:rsidRPr="002709CC">
        <w:t>-10</w:t>
      </w:r>
      <w:r w:rsidRPr="002709CC">
        <w:rPr>
          <w:vertAlign w:val="superscript"/>
        </w:rPr>
        <w:t>3</w:t>
      </w:r>
      <w:r w:rsidRPr="002709CC">
        <w:t xml:space="preserve"> years and 10</w:t>
      </w:r>
      <w:r w:rsidRPr="002709CC">
        <w:rPr>
          <w:vertAlign w:val="superscript"/>
        </w:rPr>
        <w:t>2</w:t>
      </w:r>
      <w:r w:rsidRPr="002709CC">
        <w:t>-10</w:t>
      </w:r>
      <w:r w:rsidRPr="002709CC">
        <w:rPr>
          <w:vertAlign w:val="superscript"/>
        </w:rPr>
        <w:t>6</w:t>
      </w:r>
      <w:r w:rsidRPr="002709CC">
        <w:t xml:space="preserve"> years, respectively.  Biologically induced mineral carbon sinks are undoubtedly more efficient for carbon sequestration than soil organic matter”.  </w:t>
      </w:r>
    </w:p>
    <w:p w14:paraId="1306A9B2" w14:textId="77777777" w:rsidR="00115A92" w:rsidRDefault="00115A92" w:rsidP="00115A92">
      <w:pPr>
        <w:ind w:left="426"/>
        <w:contextualSpacing/>
        <w:jc w:val="both"/>
      </w:pPr>
    </w:p>
    <w:p w14:paraId="3400C55A" w14:textId="30B10B2E" w:rsidR="0055007E" w:rsidRPr="002709CC" w:rsidRDefault="00AA39F1" w:rsidP="00115A92">
      <w:pPr>
        <w:ind w:left="426"/>
        <w:contextualSpacing/>
        <w:jc w:val="both"/>
      </w:pPr>
      <w:r w:rsidRPr="002709CC">
        <w:t>In terms of rate of carbon capture the following calculations are given</w:t>
      </w:r>
      <w:r w:rsidR="00020BDE" w:rsidRPr="002709CC">
        <w:t xml:space="preserve"> for an 80 year old tree, bearing in mind that </w:t>
      </w:r>
      <w:r w:rsidR="00020BDE" w:rsidRPr="002709CC">
        <w:rPr>
          <w:i/>
        </w:rPr>
        <w:t>M.excelsa</w:t>
      </w:r>
      <w:r w:rsidR="00020BDE" w:rsidRPr="002709CC">
        <w:t xml:space="preserve"> trees over 200 years old have been located.</w:t>
      </w:r>
      <w:r w:rsidR="007B041F" w:rsidRPr="002709CC">
        <w:t xml:space="preserve"> </w:t>
      </w:r>
      <w:r w:rsidRPr="002709CC">
        <w:t>“.. calculations using soil and tree carbonate titrations suggest at least 1500 kg of C</w:t>
      </w:r>
      <w:r w:rsidRPr="002709CC">
        <w:rPr>
          <w:vertAlign w:val="subscript"/>
        </w:rPr>
        <w:t>mineral</w:t>
      </w:r>
      <w:r w:rsidRPr="002709CC">
        <w:t xml:space="preserve"> is trapped during the life of a single </w:t>
      </w:r>
      <w:r w:rsidRPr="002709CC">
        <w:rPr>
          <w:i/>
        </w:rPr>
        <w:t>M.excelsa</w:t>
      </w:r>
      <w:r w:rsidRPr="002709CC">
        <w:t xml:space="preserve"> tree (c.500kg inside the tree and c.1000kg in surrounding soil</w:t>
      </w:r>
      <w:r w:rsidR="00020BDE" w:rsidRPr="002709CC">
        <w:t>s).  This value is equivalent to a sequestration of 18.25 kgC yr</w:t>
      </w:r>
      <w:r w:rsidR="00020BDE" w:rsidRPr="002709CC">
        <w:rPr>
          <w:vertAlign w:val="superscript"/>
        </w:rPr>
        <w:t>-1</w:t>
      </w:r>
      <w:r w:rsidR="00020BDE" w:rsidRPr="002709CC">
        <w:t>.”</w:t>
      </w:r>
      <w:r w:rsidR="008854A8" w:rsidRPr="002709CC">
        <w:t xml:space="preserve">  (Note: lifespan here is taken as 80 years whereas </w:t>
      </w:r>
      <w:r w:rsidR="008854A8" w:rsidRPr="002709CC">
        <w:rPr>
          <w:i/>
        </w:rPr>
        <w:t>M</w:t>
      </w:r>
      <w:r w:rsidR="002A0E1F">
        <w:rPr>
          <w:i/>
        </w:rPr>
        <w:t>i</w:t>
      </w:r>
      <w:r w:rsidR="008854A8" w:rsidRPr="002709CC">
        <w:rPr>
          <w:i/>
        </w:rPr>
        <w:t>licia excelsa</w:t>
      </w:r>
      <w:r w:rsidR="008854A8" w:rsidRPr="002709CC">
        <w:t xml:space="preserve"> can grow for over 250 years and </w:t>
      </w:r>
      <w:r w:rsidR="00115A92">
        <w:rPr>
          <w:shd w:val="clear" w:color="auto" w:fill="FFFFFF"/>
        </w:rPr>
        <w:t>continues to sequester carbon exceeding 3.5 tonnes C</w:t>
      </w:r>
      <w:r w:rsidR="00115A92">
        <w:rPr>
          <w:shd w:val="clear" w:color="auto" w:fill="FFFFFF"/>
          <w:vertAlign w:val="subscript"/>
        </w:rPr>
        <w:t>mineral </w:t>
      </w:r>
      <w:r w:rsidR="00115A92">
        <w:rPr>
          <w:shd w:val="clear" w:color="auto" w:fill="FFFFFF"/>
        </w:rPr>
        <w:t xml:space="preserve">for very mature trees). </w:t>
      </w:r>
    </w:p>
    <w:p w14:paraId="7A1A3280" w14:textId="48DB1A55" w:rsidR="00F6566D" w:rsidRPr="002709CC" w:rsidRDefault="00F6566D" w:rsidP="00705CF2">
      <w:pPr>
        <w:ind w:left="426"/>
        <w:contextualSpacing/>
        <w:jc w:val="both"/>
      </w:pPr>
      <w:r w:rsidRPr="002709CC">
        <w:t>(</w:t>
      </w:r>
      <w:r w:rsidRPr="002709CC">
        <w:rPr>
          <w:b/>
          <w:bCs/>
          <w:u w:val="single"/>
        </w:rPr>
        <w:t>N</w:t>
      </w:r>
      <w:r w:rsidR="00BF048A" w:rsidRPr="002709CC">
        <w:rPr>
          <w:b/>
          <w:bCs/>
          <w:u w:val="single"/>
        </w:rPr>
        <w:t xml:space="preserve">B Update </w:t>
      </w:r>
      <w:r w:rsidRPr="002709CC">
        <w:rPr>
          <w:b/>
          <w:bCs/>
          <w:u w:val="single"/>
        </w:rPr>
        <w:t>by Ian Elgie</w:t>
      </w:r>
      <w:r w:rsidRPr="002709CC">
        <w:t>. Personal communication with Dr. G. Cailleau 3/10/2019. A re-evaluation of the data through C14 dating of age of trees has reduced C</w:t>
      </w:r>
      <w:r w:rsidRPr="002709CC">
        <w:rPr>
          <w:vertAlign w:val="subscript"/>
        </w:rPr>
        <w:t xml:space="preserve">mineral  </w:t>
      </w:r>
      <w:r w:rsidRPr="002709CC">
        <w:t xml:space="preserve">rates of capture to 160kg for tree and 460kg for soil for 80 </w:t>
      </w:r>
      <w:r w:rsidR="00081521" w:rsidRPr="002709CC">
        <w:t>yr.</w:t>
      </w:r>
      <w:r w:rsidRPr="002709CC">
        <w:t xml:space="preserve"> old tree. The new total of 620kg C</w:t>
      </w:r>
      <w:r w:rsidR="00B54BF2" w:rsidRPr="002709CC">
        <w:rPr>
          <w:vertAlign w:val="subscript"/>
        </w:rPr>
        <w:t>mineral</w:t>
      </w:r>
      <w:r w:rsidRPr="002709CC">
        <w:t xml:space="preserve"> would equate to </w:t>
      </w:r>
      <w:r w:rsidR="00B54BF2" w:rsidRPr="002709CC">
        <w:t xml:space="preserve">a carbon capture rate of </w:t>
      </w:r>
      <w:r w:rsidRPr="002709CC">
        <w:rPr>
          <w:b/>
          <w:bCs/>
        </w:rPr>
        <w:t xml:space="preserve">2.273 tonnes </w:t>
      </w:r>
      <w:r w:rsidR="00B54BF2" w:rsidRPr="002709CC">
        <w:rPr>
          <w:b/>
          <w:bCs/>
        </w:rPr>
        <w:t>CO</w:t>
      </w:r>
      <w:r w:rsidR="00B54BF2" w:rsidRPr="002709CC">
        <w:rPr>
          <w:b/>
          <w:bCs/>
          <w:vertAlign w:val="superscript"/>
        </w:rPr>
        <w:t>2</w:t>
      </w:r>
      <w:r w:rsidR="00B54BF2" w:rsidRPr="002709CC">
        <w:rPr>
          <w:b/>
          <w:bCs/>
        </w:rPr>
        <w:t xml:space="preserve"> </w:t>
      </w:r>
      <w:r w:rsidRPr="002709CC">
        <w:rPr>
          <w:b/>
          <w:bCs/>
        </w:rPr>
        <w:t xml:space="preserve">per tree over 80 </w:t>
      </w:r>
      <w:r w:rsidR="00081521" w:rsidRPr="002709CC">
        <w:rPr>
          <w:b/>
          <w:bCs/>
        </w:rPr>
        <w:t>yrs.</w:t>
      </w:r>
      <w:r w:rsidR="00B54BF2" w:rsidRPr="002709CC">
        <w:rPr>
          <w:b/>
          <w:bCs/>
        </w:rPr>
        <w:t xml:space="preserve"> from inorganic carbon alone</w:t>
      </w:r>
      <w:r w:rsidR="00B54BF2" w:rsidRPr="002709CC">
        <w:t xml:space="preserve">).  Note: this could be a low figure as over </w:t>
      </w:r>
      <w:r w:rsidR="006C074A">
        <w:t xml:space="preserve">1 tonne of mineral carbon (= </w:t>
      </w:r>
      <w:r w:rsidR="00B54BF2" w:rsidRPr="002709CC">
        <w:t>3.6</w:t>
      </w:r>
      <w:r w:rsidR="00867354">
        <w:t>64</w:t>
      </w:r>
      <w:r w:rsidR="00B54BF2" w:rsidRPr="002709CC">
        <w:t xml:space="preserve"> tonnes</w:t>
      </w:r>
      <w:r w:rsidR="006C074A">
        <w:t xml:space="preserve"> CO2)</w:t>
      </w:r>
      <w:r w:rsidR="00B54BF2" w:rsidRPr="002709CC">
        <w:t xml:space="preserve"> has been found in the stump and soil around an Mvule tree of 80 years in age (see ref.</w:t>
      </w:r>
      <w:r w:rsidR="00B3411B" w:rsidRPr="002709CC">
        <w:t xml:space="preserve"> 2</w:t>
      </w:r>
      <w:r w:rsidR="00B54BF2" w:rsidRPr="002709CC">
        <w:t xml:space="preserve"> below).</w:t>
      </w:r>
    </w:p>
    <w:p w14:paraId="5D736E3E" w14:textId="3059235B" w:rsidR="00E62B96" w:rsidRPr="002709CC" w:rsidRDefault="00E62B96" w:rsidP="00705CF2">
      <w:pPr>
        <w:ind w:left="426"/>
        <w:contextualSpacing/>
        <w:jc w:val="both"/>
      </w:pPr>
    </w:p>
    <w:p w14:paraId="5D338FF7" w14:textId="38C09969" w:rsidR="00F176A7" w:rsidRPr="007773F7" w:rsidRDefault="0032075A" w:rsidP="007773F7">
      <w:pPr>
        <w:pStyle w:val="NormalWeb"/>
        <w:numPr>
          <w:ilvl w:val="0"/>
          <w:numId w:val="34"/>
        </w:numPr>
        <w:spacing w:before="120" w:beforeAutospacing="0" w:after="120" w:afterAutospacing="0"/>
        <w:ind w:left="426" w:hanging="284"/>
        <w:jc w:val="both"/>
        <w:rPr>
          <w:rFonts w:asciiTheme="minorHAnsi" w:hAnsiTheme="minorHAnsi"/>
        </w:rPr>
      </w:pPr>
      <w:r w:rsidRPr="002709CC">
        <w:rPr>
          <w:rFonts w:asciiTheme="minorHAnsi" w:hAnsiTheme="minorHAnsi"/>
          <w:b/>
          <w:color w:val="282323"/>
        </w:rPr>
        <w:lastRenderedPageBreak/>
        <w:t xml:space="preserve">Guillaume Cailleau, Olivier Braissant &amp; </w:t>
      </w:r>
      <w:r w:rsidRPr="002709CC">
        <w:rPr>
          <w:rFonts w:asciiTheme="minorHAnsi" w:hAnsiTheme="minorHAnsi"/>
          <w:b/>
          <w:color w:val="282323"/>
          <w:position w:val="2"/>
        </w:rPr>
        <w:t xml:space="preserve">Eric P. Verrecchia. 2004. </w:t>
      </w:r>
      <w:r w:rsidRPr="002709CC">
        <w:rPr>
          <w:rFonts w:asciiTheme="minorHAnsi" w:hAnsiTheme="minorHAnsi"/>
          <w:b/>
          <w:i/>
          <w:color w:val="282323"/>
        </w:rPr>
        <w:t>Biomineralization in plants as a long-term carbon sink</w:t>
      </w:r>
      <w:r w:rsidRPr="002709CC">
        <w:rPr>
          <w:rFonts w:asciiTheme="minorHAnsi" w:hAnsiTheme="minorHAnsi"/>
          <w:b/>
          <w:color w:val="282323"/>
        </w:rPr>
        <w:t xml:space="preserve"> </w:t>
      </w:r>
      <w:r w:rsidRPr="00F168C2">
        <w:rPr>
          <w:rFonts w:asciiTheme="minorHAnsi" w:hAnsiTheme="minorHAnsi"/>
          <w:bCs/>
          <w:color w:val="282323"/>
          <w:u w:val="single"/>
        </w:rPr>
        <w:t>Naturwissenschaften</w:t>
      </w:r>
      <w:r w:rsidRPr="00F168C2">
        <w:rPr>
          <w:rFonts w:asciiTheme="minorHAnsi" w:hAnsiTheme="minorHAnsi"/>
          <w:bCs/>
          <w:color w:val="282323"/>
        </w:rPr>
        <w:t xml:space="preserve"> 91: 191-194</w:t>
      </w:r>
      <w:r w:rsidRPr="002709CC">
        <w:rPr>
          <w:rFonts w:asciiTheme="minorHAnsi" w:hAnsiTheme="minorHAnsi"/>
          <w:b/>
          <w:color w:val="282323"/>
        </w:rPr>
        <w:t>.  “</w:t>
      </w:r>
      <w:r w:rsidRPr="002709CC">
        <w:rPr>
          <w:rFonts w:asciiTheme="minorHAnsi" w:hAnsiTheme="minorHAnsi"/>
          <w:color w:val="282323"/>
        </w:rPr>
        <w:t>Carbon sequestration in the global carbon cycle is almost always attributed to organic carbon storage alone, while soil mineral carbon is generally neglected. However, due to the longer residence time of mineral carbon in soils (10</w:t>
      </w:r>
      <w:r w:rsidR="00F176A7" w:rsidRPr="002709CC">
        <w:rPr>
          <w:rFonts w:asciiTheme="minorHAnsi" w:hAnsiTheme="minorHAnsi"/>
          <w:color w:val="282323"/>
          <w:position w:val="8"/>
        </w:rPr>
        <w:t>4</w:t>
      </w:r>
      <w:r w:rsidRPr="002709CC">
        <w:rPr>
          <w:rFonts w:asciiTheme="minorHAnsi" w:hAnsiTheme="minorHAnsi"/>
          <w:color w:val="282323"/>
        </w:rPr>
        <w:t>–10</w:t>
      </w:r>
      <w:r w:rsidRPr="002709CC">
        <w:rPr>
          <w:rFonts w:asciiTheme="minorHAnsi" w:hAnsiTheme="minorHAnsi"/>
          <w:color w:val="282323"/>
          <w:position w:val="8"/>
        </w:rPr>
        <w:t xml:space="preserve">6 </w:t>
      </w:r>
      <w:r w:rsidRPr="002709CC">
        <w:rPr>
          <w:rFonts w:asciiTheme="minorHAnsi" w:hAnsiTheme="minorHAnsi"/>
          <w:color w:val="282323"/>
        </w:rPr>
        <w:t>years), if stored in large quantities it represents a potentially more efficient sink…. The system is considered as a net carbon sink because carbonate accumulation involves only atmospheric CO</w:t>
      </w:r>
      <w:r w:rsidRPr="002709CC">
        <w:rPr>
          <w:rFonts w:asciiTheme="minorHAnsi" w:hAnsiTheme="minorHAnsi"/>
          <w:color w:val="282323"/>
          <w:position w:val="-4"/>
        </w:rPr>
        <w:t xml:space="preserve">2 </w:t>
      </w:r>
      <w:r w:rsidRPr="002709CC">
        <w:rPr>
          <w:rFonts w:asciiTheme="minorHAnsi" w:hAnsiTheme="minorHAnsi"/>
          <w:color w:val="282323"/>
        </w:rPr>
        <w:t>and Ca from Ca-carbonate-free sources. Around one ton of mineral carbon was found in and around an 80-year-old iroko stump, proving the existence of a mineral carbon sink related to the iroko ecosystem. Conservation of iroko trees and the many other biomineralizing plant species is crucial to the maintenance of this mineral carbon sink</w:t>
      </w:r>
      <w:r w:rsidR="00F176A7" w:rsidRPr="002709CC">
        <w:rPr>
          <w:rFonts w:asciiTheme="minorHAnsi" w:hAnsiTheme="minorHAnsi"/>
          <w:color w:val="282323"/>
        </w:rPr>
        <w:t>.</w:t>
      </w:r>
    </w:p>
    <w:p w14:paraId="365815A4" w14:textId="153A8DCA" w:rsidR="007325A6" w:rsidRPr="007773F7" w:rsidRDefault="007325A6" w:rsidP="007773F7">
      <w:pPr>
        <w:pStyle w:val="ListParagraph"/>
        <w:numPr>
          <w:ilvl w:val="0"/>
          <w:numId w:val="34"/>
        </w:numPr>
        <w:ind w:left="426"/>
        <w:jc w:val="both"/>
        <w:rPr>
          <w:rFonts w:cs="Times New Roman"/>
          <w:color w:val="000000" w:themeColor="text1"/>
        </w:rPr>
      </w:pPr>
      <w:r w:rsidRPr="00BA3F4F">
        <w:rPr>
          <w:rFonts w:cs="Times New Roman"/>
          <w:b/>
          <w:color w:val="000000" w:themeColor="text1"/>
          <w:lang w:val="fr-FR"/>
        </w:rPr>
        <w:t>Cailleau, G.</w:t>
      </w:r>
      <w:r w:rsidR="00FB5367" w:rsidRPr="00BA3F4F">
        <w:rPr>
          <w:rFonts w:cs="Times New Roman"/>
          <w:b/>
          <w:color w:val="000000" w:themeColor="text1"/>
          <w:lang w:val="fr-FR"/>
        </w:rPr>
        <w:t>,</w:t>
      </w:r>
      <w:r w:rsidR="00081521" w:rsidRPr="00BA3F4F">
        <w:rPr>
          <w:rFonts w:cs="Times New Roman"/>
          <w:b/>
          <w:color w:val="000000" w:themeColor="text1"/>
          <w:lang w:val="fr-FR"/>
        </w:rPr>
        <w:t xml:space="preserve"> </w:t>
      </w:r>
      <w:r w:rsidR="00FB5367" w:rsidRPr="00BA3F4F">
        <w:rPr>
          <w:rFonts w:cs="Times New Roman"/>
          <w:b/>
          <w:bCs/>
          <w:color w:val="46443D"/>
          <w:shd w:val="clear" w:color="auto" w:fill="FFFFFF"/>
          <w:lang w:val="fr-FR"/>
        </w:rPr>
        <w:t>Braissant O., &amp; Verrecchia E.P.</w:t>
      </w:r>
      <w:r w:rsidRPr="00BA3F4F">
        <w:rPr>
          <w:rFonts w:cs="Times New Roman"/>
          <w:b/>
          <w:color w:val="000000" w:themeColor="text1"/>
          <w:lang w:val="fr-FR"/>
        </w:rPr>
        <w:t xml:space="preserve">  </w:t>
      </w:r>
      <w:r w:rsidRPr="002709CC">
        <w:rPr>
          <w:rFonts w:cs="Times New Roman"/>
          <w:b/>
          <w:color w:val="000000" w:themeColor="text1"/>
        </w:rPr>
        <w:t xml:space="preserve">2011. Turning sunlight into stone: the oxalate-carbonate pathway in a tropical tree ecosystem. </w:t>
      </w:r>
      <w:r w:rsidRPr="002709CC">
        <w:rPr>
          <w:rFonts w:cs="Times New Roman"/>
          <w:b/>
          <w:iCs/>
          <w:color w:val="000000" w:themeColor="text1"/>
          <w:u w:val="single"/>
        </w:rPr>
        <w:t>Biogeosciences</w:t>
      </w:r>
      <w:r w:rsidRPr="002709CC">
        <w:rPr>
          <w:rFonts w:cs="Times New Roman"/>
          <w:b/>
          <w:color w:val="000000" w:themeColor="text1"/>
        </w:rPr>
        <w:t xml:space="preserve"> 8:1755-1767.</w:t>
      </w:r>
      <w:r w:rsidRPr="002709CC">
        <w:rPr>
          <w:rFonts w:cs="Times New Roman"/>
          <w:color w:val="000000" w:themeColor="text1"/>
        </w:rPr>
        <w:t xml:space="preserve"> </w:t>
      </w:r>
      <w:r w:rsidR="00FB5367" w:rsidRPr="002709CC">
        <w:rPr>
          <w:rFonts w:cs="Times New Roman"/>
          <w:color w:val="000000" w:themeColor="text1"/>
        </w:rPr>
        <w:t>(Doi:10.5194/bg-8-1755 2011).</w:t>
      </w:r>
      <w:r w:rsidR="006E3D55" w:rsidRPr="002709CC">
        <w:rPr>
          <w:rFonts w:cs="Times New Roman"/>
          <w:color w:val="000000" w:themeColor="text1"/>
        </w:rPr>
        <w:t xml:space="preserve"> </w:t>
      </w:r>
      <w:r w:rsidR="00D32A7B" w:rsidRPr="002709CC">
        <w:rPr>
          <w:rFonts w:cs="Times New Roman"/>
          <w:color w:val="000000" w:themeColor="text1"/>
        </w:rPr>
        <w:t>The research suggests that the iroko ecosystem can act as a long-term carbon sink, as long as the calcium source is related to non-carbonate rocks. C</w:t>
      </w:r>
      <w:r w:rsidR="00E62B96" w:rsidRPr="002709CC">
        <w:rPr>
          <w:rFonts w:cs="Times New Roman"/>
          <w:color w:val="000000" w:themeColor="text1"/>
        </w:rPr>
        <w:t xml:space="preserve">onsequently, this carbon sink, driven by the oxalate carbonate pathway around an iroko tree, constitutes a true carbon trapping ecosystem.  Details also given of the role of termites, saprophytic fungi and bacteria in breaking down the decaying plant tissues further adding to the carbon sink. </w:t>
      </w:r>
    </w:p>
    <w:p w14:paraId="72DB3E38" w14:textId="05DBB805" w:rsidR="00F176A7" w:rsidRPr="007773F7" w:rsidRDefault="007325A6" w:rsidP="007773F7">
      <w:pPr>
        <w:pStyle w:val="ListParagraph"/>
        <w:numPr>
          <w:ilvl w:val="0"/>
          <w:numId w:val="34"/>
        </w:numPr>
        <w:ind w:left="284" w:right="-194" w:hanging="284"/>
        <w:jc w:val="both"/>
        <w:rPr>
          <w:rFonts w:cs="Times New Roman"/>
        </w:rPr>
      </w:pPr>
      <w:r w:rsidRPr="002709CC">
        <w:rPr>
          <w:rFonts w:cs="Times New Roman"/>
          <w:b/>
        </w:rPr>
        <w:t xml:space="preserve">Cailleau, G., </w:t>
      </w:r>
      <w:r w:rsidRPr="002709CC">
        <w:rPr>
          <w:rFonts w:cs="Times New Roman"/>
          <w:b/>
          <w:iCs/>
        </w:rPr>
        <w:t>et al.</w:t>
      </w:r>
      <w:r w:rsidRPr="002709CC">
        <w:rPr>
          <w:rFonts w:cs="Times New Roman"/>
          <w:b/>
        </w:rPr>
        <w:t xml:space="preserve"> 2014.Detection of active oxalate-carbonate pathway ecosystems in the Amazon Basin: Global implications of a natural potential C sink.  </w:t>
      </w:r>
      <w:r w:rsidRPr="002709CC">
        <w:rPr>
          <w:rFonts w:cs="Times New Roman"/>
          <w:b/>
          <w:u w:val="single"/>
        </w:rPr>
        <w:t>Catena</w:t>
      </w:r>
      <w:r w:rsidRPr="002709CC">
        <w:rPr>
          <w:rFonts w:cs="Times New Roman"/>
          <w:b/>
        </w:rPr>
        <w:t xml:space="preserve">. Vol 116, May 2014, pp.132-141. </w:t>
      </w:r>
      <w:r w:rsidR="008854A8" w:rsidRPr="002709CC">
        <w:rPr>
          <w:rFonts w:cs="Times New Roman"/>
        </w:rPr>
        <w:t>Comments on the o</w:t>
      </w:r>
      <w:r w:rsidRPr="002709CC">
        <w:rPr>
          <w:rFonts w:cs="Times New Roman"/>
        </w:rPr>
        <w:t xml:space="preserve">xalate-carbonate pathway (OCP) </w:t>
      </w:r>
      <w:r w:rsidR="008854A8" w:rsidRPr="002709CC">
        <w:rPr>
          <w:rFonts w:cs="Times New Roman"/>
        </w:rPr>
        <w:t>as being</w:t>
      </w:r>
      <w:r w:rsidRPr="002709CC">
        <w:rPr>
          <w:rFonts w:cs="Times New Roman"/>
        </w:rPr>
        <w:t xml:space="preserve"> widespread in </w:t>
      </w:r>
      <w:r w:rsidR="008854A8" w:rsidRPr="002709CC">
        <w:rPr>
          <w:rFonts w:cs="Times New Roman"/>
        </w:rPr>
        <w:t xml:space="preserve">the </w:t>
      </w:r>
      <w:r w:rsidRPr="002709CC">
        <w:rPr>
          <w:rFonts w:cs="Times New Roman"/>
        </w:rPr>
        <w:t>plant world</w:t>
      </w:r>
      <w:r w:rsidR="008854A8" w:rsidRPr="002709CC">
        <w:rPr>
          <w:rFonts w:cs="Times New Roman"/>
        </w:rPr>
        <w:t xml:space="preserve"> </w:t>
      </w:r>
      <w:r w:rsidRPr="002709CC">
        <w:rPr>
          <w:rFonts w:cs="Times New Roman"/>
        </w:rPr>
        <w:t>and</w:t>
      </w:r>
      <w:r w:rsidR="008854A8" w:rsidRPr="002709CC">
        <w:rPr>
          <w:rFonts w:cs="Times New Roman"/>
        </w:rPr>
        <w:t>,</w:t>
      </w:r>
      <w:r w:rsidRPr="002709CC">
        <w:rPr>
          <w:rFonts w:cs="Times New Roman"/>
        </w:rPr>
        <w:t xml:space="preserve"> therefore </w:t>
      </w:r>
      <w:r w:rsidR="008854A8" w:rsidRPr="002709CC">
        <w:rPr>
          <w:rFonts w:cs="Times New Roman"/>
        </w:rPr>
        <w:t xml:space="preserve">a </w:t>
      </w:r>
      <w:r w:rsidRPr="002709CC">
        <w:rPr>
          <w:rFonts w:cs="Times New Roman"/>
        </w:rPr>
        <w:t xml:space="preserve">potential important source of C sink in Amazonia. However, indications are that carbonate accumulated </w:t>
      </w:r>
      <w:r w:rsidR="00746E1C" w:rsidRPr="002709CC">
        <w:rPr>
          <w:rFonts w:cs="Times New Roman"/>
        </w:rPr>
        <w:t xml:space="preserve">under African </w:t>
      </w:r>
      <w:r w:rsidR="00746E1C" w:rsidRPr="002709CC">
        <w:rPr>
          <w:rFonts w:cs="Times New Roman"/>
          <w:i/>
          <w:iCs/>
        </w:rPr>
        <w:t>Milicia</w:t>
      </w:r>
      <w:r w:rsidR="00746E1C" w:rsidRPr="002709CC">
        <w:rPr>
          <w:rFonts w:cs="Times New Roman"/>
        </w:rPr>
        <w:t xml:space="preserve"> ecosystems is </w:t>
      </w:r>
      <w:r w:rsidR="0039350C">
        <w:rPr>
          <w:rFonts w:cs="Times New Roman"/>
        </w:rPr>
        <w:t>3</w:t>
      </w:r>
      <w:r w:rsidR="00746E1C" w:rsidRPr="002709CC">
        <w:rPr>
          <w:rFonts w:cs="Times New Roman"/>
        </w:rPr>
        <w:t xml:space="preserve"> to 4 times greater than in Amazonian soils.</w:t>
      </w:r>
    </w:p>
    <w:p w14:paraId="34203B50" w14:textId="46DC46D8" w:rsidR="00C75DDE" w:rsidRPr="004A3CF4" w:rsidRDefault="00C75DDE" w:rsidP="0041686F">
      <w:pPr>
        <w:pStyle w:val="ListParagraph"/>
        <w:numPr>
          <w:ilvl w:val="0"/>
          <w:numId w:val="34"/>
        </w:numPr>
        <w:tabs>
          <w:tab w:val="left" w:pos="567"/>
        </w:tabs>
        <w:ind w:left="426" w:hanging="426"/>
        <w:jc w:val="both"/>
        <w:rPr>
          <w:rFonts w:cs="Times New Roman"/>
          <w:bCs/>
        </w:rPr>
      </w:pPr>
      <w:r w:rsidRPr="002709CC">
        <w:rPr>
          <w:rFonts w:cs="Times New Roman"/>
          <w:b/>
        </w:rPr>
        <w:t xml:space="preserve">Ferro, Katia Imeria. 2012. </w:t>
      </w:r>
      <w:r w:rsidRPr="002709CC">
        <w:rPr>
          <w:rFonts w:cs="Times New Roman"/>
          <w:b/>
          <w:i/>
        </w:rPr>
        <w:t>The impact of oxalogenic plants on soil carbon dynamics – formation of a millennium carbon storage as calcium carbonate.</w:t>
      </w:r>
      <w:r w:rsidRPr="002709CC">
        <w:rPr>
          <w:rFonts w:cs="Times New Roman"/>
          <w:b/>
        </w:rPr>
        <w:t xml:space="preserve"> </w:t>
      </w:r>
      <w:r w:rsidRPr="004A3CF4">
        <w:rPr>
          <w:rFonts w:cs="Times New Roman"/>
          <w:bCs/>
        </w:rPr>
        <w:t>Univ. of Neuch</w:t>
      </w:r>
      <w:r w:rsidRPr="004A3CF4">
        <w:rPr>
          <w:rFonts w:cs="Times New Roman"/>
          <w:bCs/>
          <w:color w:val="000000"/>
        </w:rPr>
        <w:t>â</w:t>
      </w:r>
      <w:r w:rsidRPr="004A3CF4">
        <w:rPr>
          <w:rFonts w:cs="Times New Roman"/>
          <w:bCs/>
        </w:rPr>
        <w:t xml:space="preserve">tel. </w:t>
      </w:r>
      <w:r w:rsidR="00A35AE9" w:rsidRPr="004A3CF4">
        <w:rPr>
          <w:rFonts w:cs="Times New Roman"/>
          <w:bCs/>
        </w:rPr>
        <w:t>Dr. Sc</w:t>
      </w:r>
      <w:r w:rsidRPr="004A3CF4">
        <w:rPr>
          <w:rFonts w:cs="Times New Roman"/>
          <w:bCs/>
        </w:rPr>
        <w:t xml:space="preserve"> Thesis. </w:t>
      </w:r>
      <w:r w:rsidR="002C2500" w:rsidRPr="004A3CF4">
        <w:rPr>
          <w:rFonts w:cs="Times New Roman"/>
          <w:bCs/>
        </w:rPr>
        <w:t xml:space="preserve"> </w:t>
      </w:r>
    </w:p>
    <w:p w14:paraId="2A8626E0" w14:textId="48881FED" w:rsidR="002C2500" w:rsidRPr="002709CC" w:rsidRDefault="007B041F" w:rsidP="0041686F">
      <w:pPr>
        <w:tabs>
          <w:tab w:val="left" w:pos="426"/>
          <w:tab w:val="left" w:pos="567"/>
        </w:tabs>
        <w:ind w:left="426"/>
        <w:contextualSpacing/>
        <w:jc w:val="both"/>
        <w:rPr>
          <w:b/>
        </w:rPr>
      </w:pPr>
      <w:r w:rsidRPr="002709CC">
        <w:t>(</w:t>
      </w:r>
      <w:r w:rsidRPr="002709CC">
        <w:rPr>
          <w:u w:val="single"/>
        </w:rPr>
        <w:t>Note</w:t>
      </w:r>
      <w:r w:rsidRPr="002709CC">
        <w:t>: D</w:t>
      </w:r>
      <w:r w:rsidR="002C2500" w:rsidRPr="002709CC">
        <w:t>r. Ferro indicates in h</w:t>
      </w:r>
      <w:r w:rsidR="00E152BD" w:rsidRPr="002709CC">
        <w:t>er</w:t>
      </w:r>
      <w:r w:rsidR="002C2500" w:rsidRPr="002709CC">
        <w:t xml:space="preserve"> study that earlier researchers/authors “have found that this oxalogenic</w:t>
      </w:r>
      <w:r w:rsidR="002C2500" w:rsidRPr="002709CC">
        <w:rPr>
          <w:b/>
        </w:rPr>
        <w:t xml:space="preserve"> </w:t>
      </w:r>
      <w:r w:rsidR="002C2500" w:rsidRPr="002709CC">
        <w:t>tree-soil system runs like a pump, driving carbon from the atmosphere to the hydrosphere through the pedosphere and, therefore, inscribes it in the global carbon cycle.”</w:t>
      </w:r>
    </w:p>
    <w:p w14:paraId="53902DB3" w14:textId="20461315" w:rsidR="009B22FE" w:rsidRPr="002709CC" w:rsidRDefault="002C2500" w:rsidP="0041686F">
      <w:pPr>
        <w:tabs>
          <w:tab w:val="left" w:pos="426"/>
          <w:tab w:val="left" w:pos="567"/>
        </w:tabs>
        <w:ind w:left="426"/>
        <w:contextualSpacing/>
        <w:jc w:val="both"/>
      </w:pPr>
      <w:r w:rsidRPr="002709CC">
        <w:t>H</w:t>
      </w:r>
      <w:r w:rsidR="00E152BD" w:rsidRPr="002709CC">
        <w:t>er</w:t>
      </w:r>
      <w:r w:rsidRPr="002709CC">
        <w:t xml:space="preserve"> research </w:t>
      </w:r>
      <w:r w:rsidR="009B22FE" w:rsidRPr="002709CC">
        <w:t xml:space="preserve">provides details of the carbonate-oxalate pathway in </w:t>
      </w:r>
      <w:r w:rsidR="009B22FE" w:rsidRPr="002709CC">
        <w:rPr>
          <w:i/>
        </w:rPr>
        <w:t>M.excelsa</w:t>
      </w:r>
      <w:r w:rsidR="009B22FE" w:rsidRPr="002709CC">
        <w:t xml:space="preserve"> and the following observations:</w:t>
      </w:r>
    </w:p>
    <w:p w14:paraId="5D360A5C" w14:textId="77777777" w:rsidR="00C75DDE" w:rsidRPr="002709CC" w:rsidRDefault="009B22FE" w:rsidP="0041686F">
      <w:pPr>
        <w:tabs>
          <w:tab w:val="left" w:pos="426"/>
          <w:tab w:val="left" w:pos="567"/>
        </w:tabs>
        <w:ind w:left="426"/>
        <w:contextualSpacing/>
        <w:jc w:val="both"/>
      </w:pPr>
      <w:r w:rsidRPr="002709CC">
        <w:t>p</w:t>
      </w:r>
      <w:r w:rsidR="00C75DDE" w:rsidRPr="002709CC">
        <w:t xml:space="preserve">116. “Although the maximum lifetime of a </w:t>
      </w:r>
      <w:r w:rsidR="00C75DDE" w:rsidRPr="002709CC">
        <w:rPr>
          <w:i/>
        </w:rPr>
        <w:t>M. excelsa</w:t>
      </w:r>
      <w:r w:rsidR="00C75DDE" w:rsidRPr="002709CC">
        <w:t xml:space="preserve"> tree is unknown, trees of about 250 years are frequently cited or studied in the Central African Republic”.</w:t>
      </w:r>
    </w:p>
    <w:p w14:paraId="7D385F8F" w14:textId="77777777" w:rsidR="009B22FE" w:rsidRPr="002709CC" w:rsidRDefault="00C75DDE" w:rsidP="0041686F">
      <w:pPr>
        <w:tabs>
          <w:tab w:val="left" w:pos="426"/>
          <w:tab w:val="left" w:pos="567"/>
        </w:tabs>
        <w:ind w:left="426"/>
        <w:contextualSpacing/>
        <w:jc w:val="both"/>
      </w:pPr>
      <w:r w:rsidRPr="002709CC">
        <w:t xml:space="preserve"> </w:t>
      </w:r>
      <w:r w:rsidR="009B22FE" w:rsidRPr="002709CC">
        <w:t xml:space="preserve">“Normally, </w:t>
      </w:r>
      <w:r w:rsidR="009B22FE" w:rsidRPr="002709CC">
        <w:rPr>
          <w:i/>
        </w:rPr>
        <w:t>M. excelsa</w:t>
      </w:r>
      <w:r w:rsidR="009B22FE" w:rsidRPr="002709CC">
        <w:t xml:space="preserve"> stumps remain in place after the tree is cut, as a result of deforestation and wood trade. Their biodegradation is difficult, due to the intrinsic properties of lignin and the high carbonate content of wood, which makes it practically impenetrable to normal chainsaws. Nevertheless, termites are able to grind M. </w:t>
      </w:r>
      <w:r w:rsidR="009B22FE" w:rsidRPr="002709CC">
        <w:rPr>
          <w:i/>
        </w:rPr>
        <w:t>excelsa</w:t>
      </w:r>
      <w:r w:rsidR="009B22FE" w:rsidRPr="002709CC">
        <w:t xml:space="preserve"> stumps allowing the release of oxalate and carbonate into the soil environment.”  </w:t>
      </w:r>
    </w:p>
    <w:p w14:paraId="76B6DF9E" w14:textId="77777777" w:rsidR="009B22FE" w:rsidRPr="002709CC" w:rsidRDefault="009B22FE" w:rsidP="0041686F">
      <w:pPr>
        <w:tabs>
          <w:tab w:val="left" w:pos="567"/>
        </w:tabs>
        <w:ind w:left="426"/>
        <w:contextualSpacing/>
        <w:jc w:val="both"/>
      </w:pPr>
    </w:p>
    <w:p w14:paraId="60AD952D" w14:textId="5073FE7B" w:rsidR="009B22FE" w:rsidRPr="002709CC" w:rsidRDefault="009B22FE" w:rsidP="0041686F">
      <w:pPr>
        <w:tabs>
          <w:tab w:val="left" w:pos="567"/>
        </w:tabs>
        <w:ind w:left="426"/>
        <w:contextualSpacing/>
        <w:jc w:val="both"/>
      </w:pPr>
      <w:r w:rsidRPr="002709CC">
        <w:t xml:space="preserve">p119. </w:t>
      </w:r>
      <w:r w:rsidR="002D04F0" w:rsidRPr="002709CC">
        <w:t>“</w:t>
      </w:r>
      <w:r w:rsidRPr="002709CC">
        <w:t>Chemical changes in soils due to the oxalate - carbonate pathway indicate a pH increase and an accumulation of alkaline cations (Ca and Mg), which can improve soil fertility. Consequently, plantations of biomineralizing plants would not only enhance CO</w:t>
      </w:r>
      <w:r w:rsidR="00151102" w:rsidRPr="002709CC">
        <w:rPr>
          <w:vertAlign w:val="subscript"/>
        </w:rPr>
        <w:t>2</w:t>
      </w:r>
      <w:r w:rsidRPr="002709CC">
        <w:rPr>
          <w:position w:val="-8"/>
        </w:rPr>
        <w:t xml:space="preserve"> </w:t>
      </w:r>
      <w:r w:rsidRPr="002709CC">
        <w:t>retention and capture in soils but also increase agronomical productivity.”</w:t>
      </w:r>
    </w:p>
    <w:p w14:paraId="3DC396D6" w14:textId="137E6D2E" w:rsidR="002C2500" w:rsidRPr="002709CC" w:rsidRDefault="002C2500" w:rsidP="0041686F">
      <w:pPr>
        <w:tabs>
          <w:tab w:val="left" w:pos="567"/>
        </w:tabs>
        <w:ind w:left="426"/>
        <w:contextualSpacing/>
        <w:jc w:val="both"/>
      </w:pPr>
    </w:p>
    <w:p w14:paraId="742F4497" w14:textId="5CA80BD5" w:rsidR="002C2500" w:rsidRPr="002709CC" w:rsidRDefault="002C2500" w:rsidP="0041686F">
      <w:pPr>
        <w:tabs>
          <w:tab w:val="left" w:pos="567"/>
        </w:tabs>
        <w:ind w:left="284" w:firstLine="142"/>
        <w:contextualSpacing/>
        <w:jc w:val="both"/>
      </w:pPr>
      <w:r w:rsidRPr="002709CC">
        <w:t xml:space="preserve">Section </w:t>
      </w:r>
      <w:r w:rsidR="00060E4E" w:rsidRPr="002709CC">
        <w:t>1.7.4 p15.</w:t>
      </w:r>
    </w:p>
    <w:p w14:paraId="134C3E1D" w14:textId="743D9FAF" w:rsidR="00D32A7B" w:rsidRDefault="00060E4E" w:rsidP="0041686F">
      <w:pPr>
        <w:tabs>
          <w:tab w:val="left" w:pos="567"/>
        </w:tabs>
        <w:ind w:left="426" w:hanging="142"/>
        <w:contextualSpacing/>
        <w:jc w:val="both"/>
      </w:pPr>
      <w:r w:rsidRPr="002709CC">
        <w:t>“</w:t>
      </w:r>
      <w:r w:rsidR="002C2500" w:rsidRPr="002709CC">
        <w:t>Regarding the rapid increase of the atmosphere and the potential problems due to the greenhouse effect caused by this gas, the challenge is now to slow down the CO</w:t>
      </w:r>
      <w:r w:rsidR="002C2500" w:rsidRPr="002709CC">
        <w:rPr>
          <w:vertAlign w:val="subscript"/>
        </w:rPr>
        <w:t>2</w:t>
      </w:r>
      <w:r w:rsidR="002C2500" w:rsidRPr="002709CC">
        <w:t xml:space="preserve"> in the air. There are two different ways: reduction of emissions and looking for stocks. The M. excelsa system is a natural pump for atmospheric CO</w:t>
      </w:r>
      <w:r w:rsidR="002C2500" w:rsidRPr="002709CC">
        <w:rPr>
          <w:vertAlign w:val="subscript"/>
        </w:rPr>
        <w:t>2</w:t>
      </w:r>
      <w:r w:rsidR="002C2500" w:rsidRPr="002709CC">
        <w:t xml:space="preserve"> allowing the formation of the oxalate- carbonate pathway with the result of a long</w:t>
      </w:r>
      <w:r w:rsidR="0041686F">
        <w:t>-</w:t>
      </w:r>
      <w:r w:rsidR="002C2500" w:rsidRPr="002709CC">
        <w:t>term carbon stock in soil in the form of carbonate</w:t>
      </w:r>
      <w:r w:rsidRPr="002709CC">
        <w:t>”.</w:t>
      </w:r>
    </w:p>
    <w:p w14:paraId="7B23F102" w14:textId="77777777" w:rsidR="0041686F" w:rsidRPr="0041686F" w:rsidRDefault="0041686F" w:rsidP="0041686F">
      <w:pPr>
        <w:tabs>
          <w:tab w:val="left" w:pos="567"/>
        </w:tabs>
        <w:ind w:left="426" w:hanging="142"/>
        <w:contextualSpacing/>
        <w:jc w:val="both"/>
        <w:rPr>
          <w:rFonts w:eastAsiaTheme="minorHAnsi"/>
        </w:rPr>
      </w:pPr>
    </w:p>
    <w:p w14:paraId="67F305E3" w14:textId="6D4F99A9" w:rsidR="005D3157" w:rsidRPr="007773F7" w:rsidRDefault="002D04F0" w:rsidP="00705CF2">
      <w:pPr>
        <w:pStyle w:val="ListParagraph"/>
        <w:numPr>
          <w:ilvl w:val="0"/>
          <w:numId w:val="34"/>
        </w:numPr>
        <w:ind w:left="567" w:hanging="425"/>
        <w:jc w:val="both"/>
        <w:rPr>
          <w:rFonts w:cs="Times New Roman"/>
        </w:rPr>
      </w:pPr>
      <w:r w:rsidRPr="002709CC">
        <w:rPr>
          <w:rFonts w:cs="Times New Roman"/>
          <w:b/>
        </w:rPr>
        <w:lastRenderedPageBreak/>
        <w:t>Pons,</w:t>
      </w:r>
      <w:r w:rsidR="007325A6" w:rsidRPr="002709CC">
        <w:rPr>
          <w:rFonts w:cs="Times New Roman"/>
          <w:b/>
        </w:rPr>
        <w:t xml:space="preserve"> </w:t>
      </w:r>
      <w:r w:rsidRPr="002709CC">
        <w:rPr>
          <w:rFonts w:cs="Times New Roman"/>
          <w:b/>
        </w:rPr>
        <w:t xml:space="preserve">S. </w:t>
      </w:r>
      <w:r w:rsidRPr="002709CC">
        <w:rPr>
          <w:rFonts w:cs="Times New Roman"/>
          <w:b/>
          <w:iCs/>
        </w:rPr>
        <w:t>et al.</w:t>
      </w:r>
      <w:r w:rsidRPr="002709CC">
        <w:rPr>
          <w:rFonts w:cs="Times New Roman"/>
          <w:b/>
        </w:rPr>
        <w:t xml:space="preserve"> 2018 </w:t>
      </w:r>
      <w:r w:rsidRPr="002709CC">
        <w:rPr>
          <w:rFonts w:cs="Times New Roman"/>
          <w:b/>
          <w:i/>
        </w:rPr>
        <w:t xml:space="preserve">Biocontrolled soil nutrient </w:t>
      </w:r>
      <w:r w:rsidR="00081521" w:rsidRPr="002709CC">
        <w:rPr>
          <w:rFonts w:cs="Times New Roman"/>
          <w:b/>
          <w:i/>
        </w:rPr>
        <w:t>distribution under</w:t>
      </w:r>
      <w:r w:rsidRPr="002709CC">
        <w:rPr>
          <w:rFonts w:cs="Times New Roman"/>
          <w:b/>
          <w:i/>
        </w:rPr>
        <w:t xml:space="preserve"> the influence of an oxalogenic-oxalotrophic ecosystem</w:t>
      </w:r>
      <w:r w:rsidRPr="002709CC">
        <w:rPr>
          <w:rFonts w:cs="Times New Roman"/>
          <w:b/>
        </w:rPr>
        <w:t xml:space="preserve">.  </w:t>
      </w:r>
      <w:r w:rsidRPr="002709CC">
        <w:rPr>
          <w:rFonts w:cs="Times New Roman"/>
          <w:b/>
          <w:u w:val="single"/>
        </w:rPr>
        <w:t>Plant and Soil</w:t>
      </w:r>
      <w:r w:rsidRPr="002709CC">
        <w:rPr>
          <w:rFonts w:cs="Times New Roman"/>
          <w:b/>
        </w:rPr>
        <w:t>, Vol.452, Issue 1-2, pp.145-160.</w:t>
      </w:r>
      <w:r w:rsidRPr="002709CC">
        <w:rPr>
          <w:rFonts w:cs="Times New Roman"/>
        </w:rPr>
        <w:t xml:space="preserve"> (</w:t>
      </w:r>
      <w:r w:rsidRPr="002709CC">
        <w:rPr>
          <w:rFonts w:cs="Times New Roman"/>
          <w:u w:val="single"/>
        </w:rPr>
        <w:t>Note</w:t>
      </w:r>
      <w:r w:rsidRPr="002709CC">
        <w:rPr>
          <w:rFonts w:cs="Times New Roman"/>
        </w:rPr>
        <w:t xml:space="preserve">: refers to the usefulness of the </w:t>
      </w:r>
      <w:r w:rsidRPr="002709CC">
        <w:rPr>
          <w:rFonts w:cs="Times New Roman"/>
          <w:i/>
        </w:rPr>
        <w:t>M</w:t>
      </w:r>
      <w:r w:rsidR="002A0E1F">
        <w:rPr>
          <w:rFonts w:cs="Times New Roman"/>
          <w:i/>
        </w:rPr>
        <w:t>i</w:t>
      </w:r>
      <w:r w:rsidRPr="002709CC">
        <w:rPr>
          <w:rFonts w:cs="Times New Roman"/>
          <w:i/>
        </w:rPr>
        <w:t>licia excelsa</w:t>
      </w:r>
      <w:r w:rsidRPr="002709CC">
        <w:rPr>
          <w:rFonts w:cs="Times New Roman"/>
        </w:rPr>
        <w:t xml:space="preserve"> in increasing the nutrient value of soils to benefit agroforestry and in this study </w:t>
      </w:r>
      <w:r w:rsidRPr="002709CC">
        <w:rPr>
          <w:rFonts w:cs="Times New Roman"/>
          <w:i/>
        </w:rPr>
        <w:t>Coffea arabica</w:t>
      </w:r>
      <w:r w:rsidRPr="002709CC">
        <w:rPr>
          <w:rFonts w:cs="Times New Roman"/>
        </w:rPr>
        <w:t>).</w:t>
      </w:r>
    </w:p>
    <w:p w14:paraId="2B327BF8" w14:textId="4686012A" w:rsidR="007B041F" w:rsidRPr="002709CC" w:rsidRDefault="005D3157" w:rsidP="0041686F">
      <w:pPr>
        <w:pStyle w:val="ListParagraph"/>
        <w:numPr>
          <w:ilvl w:val="0"/>
          <w:numId w:val="34"/>
        </w:numPr>
        <w:ind w:left="426" w:hanging="284"/>
        <w:jc w:val="both"/>
        <w:rPr>
          <w:rStyle w:val="apple-converted-space"/>
          <w:rFonts w:cs="Times New Roman"/>
          <w:color w:val="46443D"/>
          <w:shd w:val="clear" w:color="auto" w:fill="FFFFFF"/>
        </w:rPr>
      </w:pPr>
      <w:r w:rsidRPr="002709CC">
        <w:rPr>
          <w:rFonts w:cs="Times New Roman"/>
          <w:b/>
          <w:color w:val="46443D"/>
          <w:shd w:val="clear" w:color="auto" w:fill="FFFFFF"/>
        </w:rPr>
        <w:t xml:space="preserve">J.A. Ugwu and A.A. Omoloye, 2015. </w:t>
      </w:r>
      <w:r w:rsidRPr="002709CC">
        <w:rPr>
          <w:rFonts w:cs="Times New Roman"/>
          <w:b/>
          <w:i/>
          <w:color w:val="46443D"/>
          <w:shd w:val="clear" w:color="auto" w:fill="FFFFFF"/>
        </w:rPr>
        <w:t>Perception on the Constraints to Propagation of Iroko (</w:t>
      </w:r>
      <w:r w:rsidRPr="002709CC">
        <w:rPr>
          <w:rFonts w:cs="Times New Roman"/>
          <w:b/>
          <w:i/>
          <w:iCs/>
          <w:color w:val="46443D"/>
        </w:rPr>
        <w:t>Milicia excelsa</w:t>
      </w:r>
      <w:r w:rsidRPr="002709CC">
        <w:rPr>
          <w:rFonts w:cs="Times New Roman"/>
          <w:b/>
          <w:i/>
          <w:color w:val="46443D"/>
          <w:shd w:val="clear" w:color="auto" w:fill="FFFFFF"/>
        </w:rPr>
        <w:t>)</w:t>
      </w:r>
      <w:r w:rsidRPr="002709CC">
        <w:rPr>
          <w:rFonts w:cs="Times New Roman"/>
          <w:b/>
          <w:color w:val="46443D"/>
          <w:shd w:val="clear" w:color="auto" w:fill="FFFFFF"/>
        </w:rPr>
        <w:t xml:space="preserve"> (WELW) C.C. BERG in South West Nigeria.</w:t>
      </w:r>
      <w:r w:rsidRPr="002709CC">
        <w:rPr>
          <w:rStyle w:val="apple-converted-space"/>
          <w:rFonts w:cs="Times New Roman"/>
          <w:b/>
          <w:color w:val="46443D"/>
          <w:shd w:val="clear" w:color="auto" w:fill="FFFFFF"/>
        </w:rPr>
        <w:t> </w:t>
      </w:r>
      <w:r w:rsidRPr="002709CC">
        <w:rPr>
          <w:rFonts w:cs="Times New Roman"/>
          <w:b/>
          <w:color w:val="46443D"/>
          <w:u w:val="single"/>
        </w:rPr>
        <w:t>Research Journal of Forestry, 9: 48-5</w:t>
      </w:r>
      <w:r w:rsidR="007B041F" w:rsidRPr="002709CC">
        <w:rPr>
          <w:rFonts w:cs="Times New Roman"/>
          <w:b/>
          <w:i/>
          <w:iCs/>
          <w:color w:val="46443D"/>
        </w:rPr>
        <w:t xml:space="preserve"> </w:t>
      </w:r>
      <w:r w:rsidRPr="002709CC">
        <w:rPr>
          <w:rStyle w:val="Strong"/>
          <w:rFonts w:cs="Times New Roman"/>
          <w:b w:val="0"/>
          <w:color w:val="46443D"/>
        </w:rPr>
        <w:t>DOI:</w:t>
      </w:r>
      <w:r w:rsidRPr="002709CC">
        <w:rPr>
          <w:rStyle w:val="apple-converted-space"/>
          <w:rFonts w:cs="Times New Roman"/>
          <w:color w:val="46443D"/>
          <w:shd w:val="clear" w:color="auto" w:fill="FFFFFF"/>
        </w:rPr>
        <w:t> </w:t>
      </w:r>
      <w:hyperlink r:id="rId7" w:tgtFrame="_blank" w:history="1">
        <w:r w:rsidRPr="002709CC">
          <w:rPr>
            <w:rStyle w:val="Hyperlink"/>
            <w:rFonts w:cs="Times New Roman"/>
            <w:color w:val="5496D8"/>
          </w:rPr>
          <w:t>10.3923/rjf.2015.48.57</w:t>
        </w:r>
      </w:hyperlink>
      <w:r w:rsidRPr="002709CC">
        <w:rPr>
          <w:rStyle w:val="apple-converted-space"/>
          <w:rFonts w:cs="Times New Roman"/>
          <w:color w:val="46443D"/>
          <w:shd w:val="clear" w:color="auto" w:fill="FFFFFF"/>
        </w:rPr>
        <w:t xml:space="preserve">  </w:t>
      </w:r>
    </w:p>
    <w:p w14:paraId="3041142E" w14:textId="21C6C9E1" w:rsidR="00F176A7" w:rsidRPr="002709CC" w:rsidRDefault="008854A8" w:rsidP="007773F7">
      <w:pPr>
        <w:ind w:left="426"/>
        <w:jc w:val="both"/>
        <w:rPr>
          <w:i/>
        </w:rPr>
      </w:pPr>
      <w:r w:rsidRPr="002709CC">
        <w:rPr>
          <w:rStyle w:val="apple-converted-space"/>
          <w:color w:val="46443D"/>
          <w:shd w:val="clear" w:color="auto" w:fill="FFFFFF"/>
        </w:rPr>
        <w:t xml:space="preserve">Notes that </w:t>
      </w:r>
      <w:r w:rsidR="005D3157" w:rsidRPr="002709CC">
        <w:rPr>
          <w:rStyle w:val="apple-converted-space"/>
          <w:color w:val="46443D"/>
          <w:shd w:val="clear" w:color="auto" w:fill="FFFFFF"/>
        </w:rPr>
        <w:t>“</w:t>
      </w:r>
      <w:r w:rsidR="005D3157" w:rsidRPr="002709CC">
        <w:rPr>
          <w:color w:val="46443D"/>
          <w:shd w:val="clear" w:color="auto" w:fill="FFFFFF"/>
        </w:rPr>
        <w:t>Despite the potential of </w:t>
      </w:r>
      <w:r w:rsidR="005D3157" w:rsidRPr="002709CC">
        <w:rPr>
          <w:i/>
          <w:iCs/>
          <w:color w:val="46443D"/>
        </w:rPr>
        <w:t>M. excelsa</w:t>
      </w:r>
      <w:r w:rsidR="005D3157" w:rsidRPr="002709CC">
        <w:rPr>
          <w:color w:val="46443D"/>
          <w:shd w:val="clear" w:color="auto" w:fill="FFFFFF"/>
        </w:rPr>
        <w:t>, there is little o</w:t>
      </w:r>
      <w:r w:rsidR="00E152BD" w:rsidRPr="002709CC">
        <w:rPr>
          <w:color w:val="46443D"/>
          <w:shd w:val="clear" w:color="auto" w:fill="FFFFFF"/>
        </w:rPr>
        <w:t>r</w:t>
      </w:r>
      <w:r w:rsidR="005D3157" w:rsidRPr="002709CC">
        <w:rPr>
          <w:color w:val="46443D"/>
          <w:shd w:val="clear" w:color="auto" w:fill="FFFFFF"/>
        </w:rPr>
        <w:t xml:space="preserve"> no propagation of this plant and the regeneration from the wild cannot commensurate (</w:t>
      </w:r>
      <w:r w:rsidR="005D3157" w:rsidRPr="002709CC">
        <w:rPr>
          <w:i/>
          <w:color w:val="46443D"/>
          <w:shd w:val="clear" w:color="auto" w:fill="FFFFFF"/>
        </w:rPr>
        <w:t>sic</w:t>
      </w:r>
      <w:r w:rsidR="005D3157" w:rsidRPr="002709CC">
        <w:rPr>
          <w:color w:val="46443D"/>
          <w:shd w:val="clear" w:color="auto" w:fill="FFFFFF"/>
        </w:rPr>
        <w:t>) the demand for </w:t>
      </w:r>
      <w:r w:rsidR="005D3157" w:rsidRPr="002709CC">
        <w:rPr>
          <w:i/>
          <w:iCs/>
          <w:color w:val="46443D"/>
        </w:rPr>
        <w:t>Milicia </w:t>
      </w:r>
      <w:r w:rsidR="005D3157" w:rsidRPr="002709CC">
        <w:rPr>
          <w:color w:val="46443D"/>
          <w:shd w:val="clear" w:color="auto" w:fill="FFFFFF"/>
        </w:rPr>
        <w:t>timber in Africa. International Union for Conservation of Nature (IUCN) has placed </w:t>
      </w:r>
      <w:r w:rsidR="005D3157" w:rsidRPr="002709CC">
        <w:rPr>
          <w:i/>
          <w:iCs/>
          <w:color w:val="46443D"/>
        </w:rPr>
        <w:t>Milicia</w:t>
      </w:r>
      <w:r w:rsidR="005D3157" w:rsidRPr="002709CC">
        <w:rPr>
          <w:color w:val="46443D"/>
          <w:shd w:val="clear" w:color="auto" w:fill="FFFFFF"/>
        </w:rPr>
        <w:t> in their red list as endangered species.</w:t>
      </w:r>
      <w:r w:rsidR="005D3157" w:rsidRPr="002709CC">
        <w:t>”</w:t>
      </w:r>
      <w:r w:rsidR="005D3157" w:rsidRPr="002709CC">
        <w:rPr>
          <w:i/>
        </w:rPr>
        <w:t xml:space="preserve"> </w:t>
      </w:r>
    </w:p>
    <w:p w14:paraId="3B4B3286" w14:textId="77DEF676" w:rsidR="00D32A7B" w:rsidRPr="002709CC" w:rsidRDefault="00F176A7" w:rsidP="00705CF2">
      <w:pPr>
        <w:ind w:left="426" w:hanging="426"/>
        <w:jc w:val="both"/>
        <w:rPr>
          <w:i/>
        </w:rPr>
      </w:pPr>
      <w:r w:rsidRPr="002709CC">
        <w:rPr>
          <w:b/>
          <w:bCs/>
          <w:color w:val="46443D"/>
          <w:shd w:val="clear" w:color="auto" w:fill="FFFFFF"/>
        </w:rPr>
        <w:t xml:space="preserve"> </w:t>
      </w:r>
      <w:r w:rsidRPr="00BA3F4F">
        <w:rPr>
          <w:b/>
          <w:bCs/>
          <w:color w:val="46443D"/>
          <w:shd w:val="clear" w:color="auto" w:fill="FFFFFF"/>
          <w:lang w:val="fr-FR"/>
        </w:rPr>
        <w:t xml:space="preserve">9.   </w:t>
      </w:r>
      <w:r w:rsidR="0072307B" w:rsidRPr="00BA3F4F">
        <w:rPr>
          <w:b/>
          <w:bCs/>
          <w:color w:val="46443D"/>
          <w:shd w:val="clear" w:color="auto" w:fill="FFFFFF"/>
          <w:lang w:val="fr-FR"/>
        </w:rPr>
        <w:t>Luc Durrieude de Madron.</w:t>
      </w:r>
      <w:r w:rsidR="00151102" w:rsidRPr="00BA3F4F">
        <w:rPr>
          <w:b/>
          <w:bCs/>
          <w:color w:val="46443D"/>
          <w:shd w:val="clear" w:color="auto" w:fill="FFFFFF"/>
          <w:lang w:val="fr-FR"/>
        </w:rPr>
        <w:t xml:space="preserve"> 2003. </w:t>
      </w:r>
      <w:r w:rsidR="0072307B" w:rsidRPr="00BA3F4F">
        <w:rPr>
          <w:b/>
          <w:bCs/>
          <w:i/>
          <w:iCs/>
          <w:color w:val="46443D"/>
          <w:shd w:val="clear" w:color="auto" w:fill="FFFFFF"/>
          <w:lang w:val="fr-FR"/>
        </w:rPr>
        <w:t>Diametrique du bele de l’Iroko.</w:t>
      </w:r>
      <w:r w:rsidR="0072307B" w:rsidRPr="00BA3F4F">
        <w:rPr>
          <w:b/>
          <w:bCs/>
          <w:color w:val="46443D"/>
          <w:shd w:val="clear" w:color="auto" w:fill="FFFFFF"/>
          <w:lang w:val="fr-FR"/>
        </w:rPr>
        <w:t xml:space="preserve"> </w:t>
      </w:r>
      <w:r w:rsidR="0072307B" w:rsidRPr="002709CC">
        <w:rPr>
          <w:b/>
          <w:bCs/>
          <w:color w:val="46443D"/>
          <w:shd w:val="clear" w:color="auto" w:fill="FFFFFF"/>
        </w:rPr>
        <w:t>Bois et Forets des Tripiques no. 275 (1).</w:t>
      </w:r>
      <w:r w:rsidR="0072307B" w:rsidRPr="002709CC">
        <w:rPr>
          <w:color w:val="46443D"/>
          <w:shd w:val="clear" w:color="auto" w:fill="FFFFFF"/>
        </w:rPr>
        <w:t xml:space="preserve"> </w:t>
      </w:r>
      <w:r w:rsidR="008854A8" w:rsidRPr="002709CC">
        <w:rPr>
          <w:color w:val="46443D"/>
          <w:shd w:val="clear" w:color="auto" w:fill="FFFFFF"/>
        </w:rPr>
        <w:t xml:space="preserve"> </w:t>
      </w:r>
      <w:r w:rsidR="00A258DA" w:rsidRPr="002709CC">
        <w:rPr>
          <w:color w:val="46443D"/>
          <w:shd w:val="clear" w:color="auto" w:fill="FFFFFF"/>
        </w:rPr>
        <w:t>The article has several</w:t>
      </w:r>
      <w:r w:rsidR="008854A8" w:rsidRPr="002709CC">
        <w:rPr>
          <w:color w:val="46443D"/>
          <w:shd w:val="clear" w:color="auto" w:fill="FFFFFF"/>
        </w:rPr>
        <w:t xml:space="preserve"> charts </w:t>
      </w:r>
      <w:r w:rsidR="00A258DA" w:rsidRPr="002709CC">
        <w:rPr>
          <w:color w:val="46443D"/>
          <w:shd w:val="clear" w:color="auto" w:fill="FFFFFF"/>
        </w:rPr>
        <w:t>on the</w:t>
      </w:r>
      <w:r w:rsidR="008854A8" w:rsidRPr="002709CC">
        <w:rPr>
          <w:color w:val="46443D"/>
          <w:shd w:val="clear" w:color="auto" w:fill="FFFFFF"/>
        </w:rPr>
        <w:t xml:space="preserve"> annual growth of </w:t>
      </w:r>
      <w:r w:rsidR="008854A8" w:rsidRPr="002709CC">
        <w:rPr>
          <w:i/>
          <w:color w:val="46443D"/>
          <w:shd w:val="clear" w:color="auto" w:fill="FFFFFF"/>
        </w:rPr>
        <w:t>M</w:t>
      </w:r>
      <w:r w:rsidR="002A0E1F">
        <w:rPr>
          <w:i/>
          <w:color w:val="46443D"/>
          <w:shd w:val="clear" w:color="auto" w:fill="FFFFFF"/>
        </w:rPr>
        <w:t>i</w:t>
      </w:r>
      <w:r w:rsidR="008854A8" w:rsidRPr="002709CC">
        <w:rPr>
          <w:i/>
          <w:color w:val="46443D"/>
          <w:shd w:val="clear" w:color="auto" w:fill="FFFFFF"/>
        </w:rPr>
        <w:t>licia excelsa</w:t>
      </w:r>
      <w:r w:rsidR="008854A8" w:rsidRPr="002709CC">
        <w:rPr>
          <w:color w:val="46443D"/>
          <w:shd w:val="clear" w:color="auto" w:fill="FFFFFF"/>
        </w:rPr>
        <w:t>.</w:t>
      </w:r>
    </w:p>
    <w:p w14:paraId="5F57CDBC" w14:textId="7EA65F6B" w:rsidR="00D32A7B" w:rsidRPr="002709CC" w:rsidRDefault="00D32A7B" w:rsidP="00705CF2">
      <w:pPr>
        <w:autoSpaceDE w:val="0"/>
        <w:autoSpaceDN w:val="0"/>
        <w:adjustRightInd w:val="0"/>
        <w:jc w:val="both"/>
        <w:rPr>
          <w:color w:val="46443D"/>
          <w:shd w:val="clear" w:color="auto" w:fill="FFFFFF"/>
        </w:rPr>
      </w:pPr>
    </w:p>
    <w:p w14:paraId="4FA78BA0" w14:textId="38D8D53F" w:rsidR="00A258DA" w:rsidRPr="002709CC" w:rsidRDefault="00A258DA" w:rsidP="00705CF2">
      <w:pPr>
        <w:pStyle w:val="ListParagraph"/>
        <w:autoSpaceDE w:val="0"/>
        <w:autoSpaceDN w:val="0"/>
        <w:adjustRightInd w:val="0"/>
        <w:ind w:left="360"/>
        <w:jc w:val="both"/>
        <w:rPr>
          <w:rFonts w:cs="Times New Roman"/>
          <w:color w:val="46443D"/>
          <w:shd w:val="clear" w:color="auto" w:fill="FFFFFF"/>
        </w:rPr>
      </w:pPr>
      <w:r w:rsidRPr="002709CC">
        <w:rPr>
          <w:rFonts w:cs="Times New Roman"/>
          <w:noProof/>
          <w:color w:val="46443D"/>
        </w:rPr>
        <mc:AlternateContent>
          <mc:Choice Requires="wps">
            <w:drawing>
              <wp:anchor distT="0" distB="0" distL="114300" distR="114300" simplePos="0" relativeHeight="251659264" behindDoc="0" locked="0" layoutInCell="1" allowOverlap="1" wp14:anchorId="7179A641" wp14:editId="2E37F9AF">
                <wp:simplePos x="0" y="0"/>
                <wp:positionH relativeFrom="column">
                  <wp:posOffset>3352800</wp:posOffset>
                </wp:positionH>
                <wp:positionV relativeFrom="paragraph">
                  <wp:posOffset>-45085</wp:posOffset>
                </wp:positionV>
                <wp:extent cx="2881630" cy="2065867"/>
                <wp:effectExtent l="0" t="0" r="13970" b="17145"/>
                <wp:wrapNone/>
                <wp:docPr id="2" name="Text Box 2"/>
                <wp:cNvGraphicFramePr/>
                <a:graphic xmlns:a="http://schemas.openxmlformats.org/drawingml/2006/main">
                  <a:graphicData uri="http://schemas.microsoft.com/office/word/2010/wordprocessingShape">
                    <wps:wsp>
                      <wps:cNvSpPr txBox="1"/>
                      <wps:spPr>
                        <a:xfrm>
                          <a:off x="0" y="0"/>
                          <a:ext cx="2881630" cy="2065867"/>
                        </a:xfrm>
                        <a:prstGeom prst="rect">
                          <a:avLst/>
                        </a:prstGeom>
                        <a:solidFill>
                          <a:schemeClr val="lt1"/>
                        </a:solidFill>
                        <a:ln w="6350">
                          <a:solidFill>
                            <a:prstClr val="black"/>
                          </a:solidFill>
                        </a:ln>
                      </wps:spPr>
                      <wps:txbx>
                        <w:txbxContent>
                          <w:p w14:paraId="076A5782" w14:textId="14A518A6" w:rsidR="00A258DA" w:rsidRPr="00A258DA" w:rsidRDefault="00A258DA">
                            <w:pPr>
                              <w:rPr>
                                <w:sz w:val="22"/>
                                <w:szCs w:val="22"/>
                              </w:rPr>
                            </w:pPr>
                            <w:r w:rsidRPr="00A258DA">
                              <w:rPr>
                                <w:sz w:val="22"/>
                                <w:szCs w:val="22"/>
                                <w:u w:val="single"/>
                              </w:rPr>
                              <w:t>Figure 1</w:t>
                            </w:r>
                            <w:r w:rsidRPr="00A258DA">
                              <w:rPr>
                                <w:sz w:val="22"/>
                                <w:szCs w:val="22"/>
                              </w:rPr>
                              <w:t>.</w:t>
                            </w:r>
                          </w:p>
                          <w:p w14:paraId="6A68C558" w14:textId="283B7360" w:rsidR="00A258DA" w:rsidRPr="00A258DA" w:rsidRDefault="00A258DA">
                            <w:pPr>
                              <w:rPr>
                                <w:sz w:val="22"/>
                                <w:szCs w:val="22"/>
                              </w:rPr>
                            </w:pPr>
                            <w:r w:rsidRPr="00A258DA">
                              <w:rPr>
                                <w:sz w:val="22"/>
                                <w:szCs w:val="22"/>
                              </w:rPr>
                              <w:t>Mean diameter growth cm/y</w:t>
                            </w:r>
                            <w:r w:rsidR="00081521">
                              <w:rPr>
                                <w:sz w:val="22"/>
                                <w:szCs w:val="22"/>
                              </w:rPr>
                              <w:t>r.</w:t>
                            </w:r>
                            <w:r w:rsidRPr="00A258DA">
                              <w:rPr>
                                <w:sz w:val="22"/>
                                <w:szCs w:val="22"/>
                              </w:rPr>
                              <w:t xml:space="preserve"> of 46 Iroko (Mvule) trees by age in years. </w:t>
                            </w:r>
                          </w:p>
                          <w:p w14:paraId="63F85D3F" w14:textId="77777777" w:rsidR="00A258DA" w:rsidRDefault="00A258DA">
                            <w:pPr>
                              <w:rPr>
                                <w:sz w:val="22"/>
                                <w:szCs w:val="22"/>
                              </w:rPr>
                            </w:pPr>
                            <w:r w:rsidRPr="00A258DA">
                              <w:rPr>
                                <w:sz w:val="22"/>
                                <w:szCs w:val="22"/>
                                <w:u w:val="single"/>
                              </w:rPr>
                              <w:t>Note</w:t>
                            </w:r>
                            <w:r>
                              <w:rPr>
                                <w:sz w:val="22"/>
                                <w:szCs w:val="22"/>
                                <w:u w:val="single"/>
                              </w:rPr>
                              <w:t>s</w:t>
                            </w:r>
                            <w:r w:rsidRPr="00A258DA">
                              <w:rPr>
                                <w:sz w:val="22"/>
                                <w:szCs w:val="22"/>
                              </w:rPr>
                              <w:t xml:space="preserve">: </w:t>
                            </w:r>
                          </w:p>
                          <w:p w14:paraId="3681B122" w14:textId="0AE2B637" w:rsidR="00A258DA" w:rsidRPr="006278BC" w:rsidRDefault="00A258DA" w:rsidP="006278BC">
                            <w:pPr>
                              <w:pStyle w:val="NoSpacing"/>
                              <w:numPr>
                                <w:ilvl w:val="0"/>
                                <w:numId w:val="10"/>
                              </w:numPr>
                              <w:rPr>
                                <w:sz w:val="22"/>
                                <w:szCs w:val="22"/>
                              </w:rPr>
                            </w:pPr>
                            <w:r w:rsidRPr="006278BC">
                              <w:rPr>
                                <w:sz w:val="22"/>
                                <w:szCs w:val="22"/>
                              </w:rPr>
                              <w:t xml:space="preserve">Even with very old trees (&gt;250yrs) substantial growth is maintained. </w:t>
                            </w:r>
                          </w:p>
                          <w:p w14:paraId="5926757D" w14:textId="166C4EE6" w:rsidR="00A258DA" w:rsidRPr="006278BC" w:rsidRDefault="006278BC" w:rsidP="006278BC">
                            <w:pPr>
                              <w:pStyle w:val="NoSpacing"/>
                              <w:numPr>
                                <w:ilvl w:val="0"/>
                                <w:numId w:val="10"/>
                              </w:numPr>
                              <w:rPr>
                                <w:sz w:val="22"/>
                                <w:szCs w:val="22"/>
                              </w:rPr>
                            </w:pPr>
                            <w:r w:rsidRPr="006278BC">
                              <w:rPr>
                                <w:sz w:val="22"/>
                                <w:szCs w:val="22"/>
                              </w:rPr>
                              <w:t xml:space="preserve">Trees can reach 50m in height and 2.5m diameter. </w:t>
                            </w:r>
                          </w:p>
                          <w:p w14:paraId="541B9230" w14:textId="2F129D44" w:rsidR="006278BC" w:rsidRPr="006278BC" w:rsidRDefault="006278BC" w:rsidP="006278BC">
                            <w:pPr>
                              <w:pStyle w:val="NoSpacing"/>
                              <w:numPr>
                                <w:ilvl w:val="0"/>
                                <w:numId w:val="10"/>
                              </w:numPr>
                            </w:pPr>
                            <w:r w:rsidRPr="006278BC">
                              <w:rPr>
                                <w:sz w:val="22"/>
                                <w:szCs w:val="22"/>
                              </w:rPr>
                              <w:t>In the timber trade minimum exploitable diameter (MED) is 80cm for Iroko (reached on average in</w:t>
                            </w:r>
                            <w:r w:rsidRPr="006278BC">
                              <w:t xml:space="preserve"> </w:t>
                            </w:r>
                            <w:r w:rsidRPr="006278BC">
                              <w:rPr>
                                <w:sz w:val="22"/>
                                <w:szCs w:val="22"/>
                              </w:rPr>
                              <w:t>130 years.</w:t>
                            </w:r>
                          </w:p>
                          <w:p w14:paraId="3072C550" w14:textId="77777777" w:rsidR="00A258DA" w:rsidRPr="00A258DA" w:rsidRDefault="00A258D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9A641" id="_x0000_t202" coordsize="21600,21600" o:spt="202" path="m,l,21600r21600,l21600,xe">
                <v:stroke joinstyle="miter"/>
                <v:path gradientshapeok="t" o:connecttype="rect"/>
              </v:shapetype>
              <v:shape id="Text Box 2" o:spid="_x0000_s1026" type="#_x0000_t202" style="position:absolute;left:0;text-align:left;margin-left:264pt;margin-top:-3.55pt;width:226.9pt;height:16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" fillcolor="white [3201]" strokeweight=".5pt">
                <v:textbox>
                  <w:txbxContent>
                    <w:p w14:paraId="076A5782" w14:textId="14A518A6" w:rsidR="00A258DA" w:rsidRPr="00A258DA" w:rsidRDefault="00A258DA">
                      <w:pPr>
                        <w:rPr>
                          <w:sz w:val="22"/>
                          <w:szCs w:val="22"/>
                        </w:rPr>
                      </w:pPr>
                      <w:r w:rsidRPr="00A258DA">
                        <w:rPr>
                          <w:sz w:val="22"/>
                          <w:szCs w:val="22"/>
                          <w:u w:val="single"/>
                        </w:rPr>
                        <w:t>Figure 1</w:t>
                      </w:r>
                      <w:r w:rsidRPr="00A258DA">
                        <w:rPr>
                          <w:sz w:val="22"/>
                          <w:szCs w:val="22"/>
                        </w:rPr>
                        <w:t>.</w:t>
                      </w:r>
                    </w:p>
                    <w:p w14:paraId="6A68C558" w14:textId="283B7360" w:rsidR="00A258DA" w:rsidRPr="00A258DA" w:rsidRDefault="00A258DA">
                      <w:pPr>
                        <w:rPr>
                          <w:sz w:val="22"/>
                          <w:szCs w:val="22"/>
                        </w:rPr>
                      </w:pPr>
                      <w:r w:rsidRPr="00A258DA">
                        <w:rPr>
                          <w:sz w:val="22"/>
                          <w:szCs w:val="22"/>
                        </w:rPr>
                        <w:t>Mean diameter growth cm/y</w:t>
                      </w:r>
                      <w:r w:rsidR="00081521">
                        <w:rPr>
                          <w:sz w:val="22"/>
                          <w:szCs w:val="22"/>
                        </w:rPr>
                        <w:t>r.</w:t>
                      </w:r>
                      <w:r w:rsidRPr="00A258DA">
                        <w:rPr>
                          <w:sz w:val="22"/>
                          <w:szCs w:val="22"/>
                        </w:rPr>
                        <w:t xml:space="preserve"> of 46 Iroko (Mvule) trees by age in years. </w:t>
                      </w:r>
                    </w:p>
                    <w:p w14:paraId="63F85D3F" w14:textId="77777777" w:rsidR="00A258DA" w:rsidRDefault="00A258DA">
                      <w:pPr>
                        <w:rPr>
                          <w:sz w:val="22"/>
                          <w:szCs w:val="22"/>
                        </w:rPr>
                      </w:pPr>
                      <w:r w:rsidRPr="00A258DA">
                        <w:rPr>
                          <w:sz w:val="22"/>
                          <w:szCs w:val="22"/>
                          <w:u w:val="single"/>
                        </w:rPr>
                        <w:t>Note</w:t>
                      </w:r>
                      <w:r>
                        <w:rPr>
                          <w:sz w:val="22"/>
                          <w:szCs w:val="22"/>
                          <w:u w:val="single"/>
                        </w:rPr>
                        <w:t>s</w:t>
                      </w:r>
                      <w:r w:rsidRPr="00A258DA">
                        <w:rPr>
                          <w:sz w:val="22"/>
                          <w:szCs w:val="22"/>
                        </w:rPr>
                        <w:t xml:space="preserve">: </w:t>
                      </w:r>
                    </w:p>
                    <w:p w14:paraId="3681B122" w14:textId="0AE2B637" w:rsidR="00A258DA" w:rsidRPr="006278BC" w:rsidRDefault="00A258DA" w:rsidP="006278BC">
                      <w:pPr>
                        <w:pStyle w:val="NoSpacing"/>
                        <w:numPr>
                          <w:ilvl w:val="0"/>
                          <w:numId w:val="10"/>
                        </w:numPr>
                        <w:rPr>
                          <w:sz w:val="22"/>
                          <w:szCs w:val="22"/>
                        </w:rPr>
                      </w:pPr>
                      <w:r w:rsidRPr="006278BC">
                        <w:rPr>
                          <w:sz w:val="22"/>
                          <w:szCs w:val="22"/>
                        </w:rPr>
                        <w:t xml:space="preserve">Even with very old trees (&gt;250yrs) substantial growth is maintained. </w:t>
                      </w:r>
                    </w:p>
                    <w:p w14:paraId="5926757D" w14:textId="166C4EE6" w:rsidR="00A258DA" w:rsidRPr="006278BC" w:rsidRDefault="006278BC" w:rsidP="006278BC">
                      <w:pPr>
                        <w:pStyle w:val="NoSpacing"/>
                        <w:numPr>
                          <w:ilvl w:val="0"/>
                          <w:numId w:val="10"/>
                        </w:numPr>
                        <w:rPr>
                          <w:sz w:val="22"/>
                          <w:szCs w:val="22"/>
                        </w:rPr>
                      </w:pPr>
                      <w:r w:rsidRPr="006278BC">
                        <w:rPr>
                          <w:sz w:val="22"/>
                          <w:szCs w:val="22"/>
                        </w:rPr>
                        <w:t xml:space="preserve">Trees can reach 50m in height and 2.5m diameter. </w:t>
                      </w:r>
                    </w:p>
                    <w:p w14:paraId="541B9230" w14:textId="2F129D44" w:rsidR="006278BC" w:rsidRPr="006278BC" w:rsidRDefault="006278BC" w:rsidP="006278BC">
                      <w:pPr>
                        <w:pStyle w:val="NoSpacing"/>
                        <w:numPr>
                          <w:ilvl w:val="0"/>
                          <w:numId w:val="10"/>
                        </w:numPr>
                      </w:pPr>
                      <w:r w:rsidRPr="006278BC">
                        <w:rPr>
                          <w:sz w:val="22"/>
                          <w:szCs w:val="22"/>
                        </w:rPr>
                        <w:t>In the timber trade minimum exploitable diameter (MED) is 80cm for Iroko (reached on average in</w:t>
                      </w:r>
                      <w:r w:rsidRPr="006278BC">
                        <w:t xml:space="preserve"> </w:t>
                      </w:r>
                      <w:r w:rsidRPr="006278BC">
                        <w:rPr>
                          <w:sz w:val="22"/>
                          <w:szCs w:val="22"/>
                        </w:rPr>
                        <w:t>130 years.</w:t>
                      </w:r>
                    </w:p>
                    <w:p w14:paraId="3072C550" w14:textId="77777777" w:rsidR="00A258DA" w:rsidRPr="00A258DA" w:rsidRDefault="00A258DA">
                      <w:pPr>
                        <w:rPr>
                          <w:sz w:val="22"/>
                          <w:szCs w:val="22"/>
                        </w:rPr>
                      </w:pPr>
                    </w:p>
                  </w:txbxContent>
                </v:textbox>
              </v:shape>
            </w:pict>
          </mc:Fallback>
        </mc:AlternateContent>
      </w:r>
      <w:r w:rsidRPr="002709CC">
        <w:rPr>
          <w:rFonts w:cs="Times New Roman"/>
          <w:noProof/>
          <w:color w:val="46443D"/>
          <w:shd w:val="clear" w:color="auto" w:fill="FFFFFF"/>
        </w:rPr>
        <w:drawing>
          <wp:inline distT="0" distB="0" distL="0" distR="0" wp14:anchorId="04E61150" wp14:editId="04121CE0">
            <wp:extent cx="3125524" cy="201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5952" cy="2032498"/>
                    </a:xfrm>
                    <a:prstGeom prst="rect">
                      <a:avLst/>
                    </a:prstGeom>
                  </pic:spPr>
                </pic:pic>
              </a:graphicData>
            </a:graphic>
          </wp:inline>
        </w:drawing>
      </w:r>
    </w:p>
    <w:p w14:paraId="40E09333" w14:textId="027BDCAE" w:rsidR="00A258DA" w:rsidRPr="002709CC" w:rsidRDefault="00A258DA" w:rsidP="00705CF2">
      <w:pPr>
        <w:autoSpaceDE w:val="0"/>
        <w:autoSpaceDN w:val="0"/>
        <w:adjustRightInd w:val="0"/>
        <w:jc w:val="both"/>
        <w:rPr>
          <w:color w:val="46443D"/>
          <w:shd w:val="clear" w:color="auto" w:fill="FFFFFF"/>
        </w:rPr>
      </w:pPr>
    </w:p>
    <w:p w14:paraId="64CDA7D2" w14:textId="6DF45494" w:rsidR="00A258DA" w:rsidRPr="002709CC" w:rsidRDefault="00BD5252" w:rsidP="00705CF2">
      <w:pPr>
        <w:pStyle w:val="ListParagraph"/>
        <w:autoSpaceDE w:val="0"/>
        <w:autoSpaceDN w:val="0"/>
        <w:adjustRightInd w:val="0"/>
        <w:ind w:left="360"/>
        <w:jc w:val="both"/>
        <w:rPr>
          <w:rFonts w:cs="Times New Roman"/>
          <w:color w:val="46443D"/>
          <w:shd w:val="clear" w:color="auto" w:fill="FFFFFF"/>
        </w:rPr>
      </w:pPr>
      <w:r w:rsidRPr="002709CC">
        <w:rPr>
          <w:rFonts w:cs="Times New Roman"/>
          <w:color w:val="46443D"/>
          <w:shd w:val="clear" w:color="auto" w:fill="FFFFFF"/>
        </w:rPr>
        <w:t xml:space="preserve">(IDE note:  See survey below on Biomass Calculations by Onefeli, A.O.et al. (2012)). </w:t>
      </w:r>
    </w:p>
    <w:p w14:paraId="23AFE5EC" w14:textId="2E1443EF" w:rsidR="00A258DA" w:rsidRPr="002709CC" w:rsidRDefault="00A258DA" w:rsidP="00705CF2">
      <w:pPr>
        <w:pStyle w:val="ListParagraph"/>
        <w:autoSpaceDE w:val="0"/>
        <w:autoSpaceDN w:val="0"/>
        <w:adjustRightInd w:val="0"/>
        <w:ind w:left="360"/>
        <w:jc w:val="both"/>
        <w:rPr>
          <w:rFonts w:cs="Times New Roman"/>
          <w:color w:val="46443D"/>
          <w:shd w:val="clear" w:color="auto" w:fill="FFFFFF"/>
        </w:rPr>
      </w:pPr>
    </w:p>
    <w:p w14:paraId="71324A57" w14:textId="1AD1A1A5" w:rsidR="00F176A7" w:rsidRPr="002709CC" w:rsidRDefault="003C77B4" w:rsidP="00705CF2">
      <w:pPr>
        <w:pStyle w:val="ListParagraph"/>
        <w:numPr>
          <w:ilvl w:val="0"/>
          <w:numId w:val="12"/>
        </w:numPr>
        <w:ind w:left="426" w:hanging="426"/>
        <w:jc w:val="both"/>
        <w:rPr>
          <w:rFonts w:eastAsia="Times New Roman" w:cs="Arial"/>
          <w:lang w:eastAsia="en-GB"/>
        </w:rPr>
      </w:pPr>
      <w:r w:rsidRPr="002709CC">
        <w:rPr>
          <w:rFonts w:eastAsia="Times New Roman" w:cs="Times New Roman"/>
          <w:color w:val="333333"/>
          <w:spacing w:val="4"/>
          <w:lang w:eastAsia="en-GB"/>
        </w:rPr>
        <w:t xml:space="preserve">Aragno M., Verrecchia E. (2012) </w:t>
      </w:r>
      <w:r w:rsidRPr="002709CC">
        <w:rPr>
          <w:rFonts w:eastAsia="Times New Roman" w:cs="Times New Roman"/>
          <w:b/>
          <w:bCs/>
          <w:i/>
          <w:iCs/>
          <w:color w:val="333333"/>
          <w:spacing w:val="4"/>
          <w:lang w:eastAsia="en-GB"/>
        </w:rPr>
        <w:t>The Oxalate-Carbonate Pathway: A Reliable Sink for Atmospheric CO</w:t>
      </w:r>
      <w:r w:rsidRPr="002709CC">
        <w:rPr>
          <w:rFonts w:eastAsia="Times New Roman" w:cs="Times New Roman"/>
          <w:b/>
          <w:bCs/>
          <w:i/>
          <w:iCs/>
          <w:color w:val="333333"/>
          <w:spacing w:val="4"/>
          <w:vertAlign w:val="subscript"/>
          <w:lang w:eastAsia="en-GB"/>
        </w:rPr>
        <w:t>2</w:t>
      </w:r>
      <w:r w:rsidRPr="002709CC">
        <w:rPr>
          <w:rFonts w:eastAsia="Times New Roman" w:cs="Times New Roman"/>
          <w:b/>
          <w:bCs/>
          <w:i/>
          <w:iCs/>
          <w:color w:val="333333"/>
          <w:spacing w:val="4"/>
          <w:lang w:eastAsia="en-GB"/>
        </w:rPr>
        <w:t> Through Calcium Carbonate Biomineralization in Ferralitic Tropical Soils</w:t>
      </w:r>
      <w:r w:rsidRPr="002709CC">
        <w:rPr>
          <w:rFonts w:eastAsia="Times New Roman" w:cs="Times New Roman"/>
          <w:color w:val="333333"/>
          <w:spacing w:val="4"/>
          <w:lang w:eastAsia="en-GB"/>
        </w:rPr>
        <w:t xml:space="preserve"> In: Satyanarayana T., Johri B., Anil Prakash (eds) </w:t>
      </w:r>
      <w:r w:rsidRPr="002709CC">
        <w:rPr>
          <w:rFonts w:eastAsia="Times New Roman" w:cs="Times New Roman"/>
          <w:b/>
          <w:bCs/>
          <w:color w:val="333333"/>
          <w:spacing w:val="4"/>
          <w:u w:val="single"/>
          <w:lang w:eastAsia="en-GB"/>
        </w:rPr>
        <w:t>Microorganisms in Environmental Management</w:t>
      </w:r>
      <w:r w:rsidRPr="002709CC">
        <w:rPr>
          <w:rFonts w:eastAsia="Times New Roman" w:cs="Times New Roman"/>
          <w:color w:val="333333"/>
          <w:spacing w:val="4"/>
          <w:lang w:eastAsia="en-GB"/>
        </w:rPr>
        <w:t xml:space="preserve">. Springer, Dordrecht. </w:t>
      </w:r>
      <w:r w:rsidR="00692E60" w:rsidRPr="002709CC">
        <w:rPr>
          <w:rFonts w:eastAsia="Times New Roman" w:cs="Times New Roman"/>
          <w:color w:val="333333"/>
          <w:spacing w:val="4"/>
          <w:u w:val="single"/>
          <w:lang w:eastAsia="en-GB"/>
        </w:rPr>
        <w:t>Abstract</w:t>
      </w:r>
      <w:r w:rsidRPr="002709CC">
        <w:rPr>
          <w:rFonts w:eastAsia="Times New Roman" w:cs="Times New Roman"/>
          <w:color w:val="333333"/>
          <w:spacing w:val="4"/>
          <w:lang w:eastAsia="en-GB"/>
        </w:rPr>
        <w:t>: “</w:t>
      </w:r>
      <w:r w:rsidRPr="002709CC">
        <w:rPr>
          <w:rFonts w:eastAsia="Times New Roman" w:cs="Times New Roman"/>
          <w:color w:val="333333"/>
          <w:spacing w:val="2"/>
          <w:shd w:val="clear" w:color="auto" w:fill="FCFCFC"/>
          <w:lang w:eastAsia="en-GB"/>
        </w:rPr>
        <w:t>Calcium carbonate has a residence time in soils in the order of 10</w:t>
      </w:r>
      <w:r w:rsidRPr="002709CC">
        <w:rPr>
          <w:rFonts w:eastAsia="Times New Roman" w:cs="Times New Roman"/>
          <w:color w:val="333333"/>
          <w:spacing w:val="2"/>
          <w:vertAlign w:val="superscript"/>
          <w:lang w:eastAsia="en-GB"/>
        </w:rPr>
        <w:t>4–6</w:t>
      </w:r>
      <w:r w:rsidRPr="002709CC">
        <w:rPr>
          <w:rFonts w:eastAsia="Times New Roman" w:cs="Times New Roman"/>
          <w:color w:val="333333"/>
          <w:spacing w:val="2"/>
          <w:shd w:val="clear" w:color="auto" w:fill="FCFCFC"/>
          <w:lang w:eastAsia="en-GB"/>
        </w:rPr>
        <w:t> years. Therefore, sequestration of atmospheric carbon as CaCO</w:t>
      </w:r>
      <w:r w:rsidRPr="002709CC">
        <w:rPr>
          <w:rFonts w:eastAsia="Times New Roman" w:cs="Times New Roman"/>
          <w:color w:val="333333"/>
          <w:spacing w:val="2"/>
          <w:vertAlign w:val="subscript"/>
          <w:lang w:eastAsia="en-GB"/>
        </w:rPr>
        <w:t>3</w:t>
      </w:r>
      <w:r w:rsidRPr="002709CC">
        <w:rPr>
          <w:rFonts w:eastAsia="Times New Roman" w:cs="Times New Roman"/>
          <w:color w:val="333333"/>
          <w:spacing w:val="2"/>
          <w:shd w:val="clear" w:color="auto" w:fill="FCFCFC"/>
          <w:lang w:eastAsia="en-GB"/>
        </w:rPr>
        <w:t xml:space="preserve"> is almost irreversible, as compared to organic carbon. Calcium oxalate, a metabolite often accumulated in plants, is chemically highly stable. However, it is readily oxidized by oxalotrophic bacteria, with simultaneous </w:t>
      </w:r>
      <w:r w:rsidR="00692E60" w:rsidRPr="002709CC">
        <w:rPr>
          <w:rFonts w:eastAsia="Times New Roman" w:cs="Times New Roman"/>
          <w:color w:val="333333"/>
          <w:spacing w:val="2"/>
          <w:shd w:val="clear" w:color="auto" w:fill="FCFCFC"/>
          <w:lang w:eastAsia="en-GB"/>
        </w:rPr>
        <w:t>alkalinisation</w:t>
      </w:r>
      <w:r w:rsidRPr="002709CC">
        <w:rPr>
          <w:rFonts w:eastAsia="Times New Roman" w:cs="Times New Roman"/>
          <w:color w:val="333333"/>
          <w:spacing w:val="2"/>
          <w:shd w:val="clear" w:color="auto" w:fill="FCFCFC"/>
          <w:lang w:eastAsia="en-GB"/>
        </w:rPr>
        <w:t xml:space="preserve"> and biomineralization of calcium carbonate, which eventually accumulates in soil. In tropical countries, on mainly acidic, </w:t>
      </w:r>
      <w:r w:rsidR="00B3411B" w:rsidRPr="002709CC">
        <w:rPr>
          <w:rFonts w:eastAsia="Times New Roman" w:cs="Times New Roman"/>
          <w:color w:val="333333"/>
          <w:spacing w:val="2"/>
          <w:shd w:val="clear" w:color="auto" w:fill="FCFCFC"/>
          <w:lang w:eastAsia="en-GB"/>
        </w:rPr>
        <w:t>non-calcareous</w:t>
      </w:r>
      <w:r w:rsidRPr="002709CC">
        <w:rPr>
          <w:rFonts w:eastAsia="Times New Roman" w:cs="Times New Roman"/>
          <w:color w:val="333333"/>
          <w:spacing w:val="2"/>
          <w:shd w:val="clear" w:color="auto" w:fill="FCFCFC"/>
          <w:lang w:eastAsia="en-GB"/>
        </w:rPr>
        <w:t xml:space="preserve"> soils, this represents a significant sink for atmospheric CO</w:t>
      </w:r>
      <w:r w:rsidRPr="002709CC">
        <w:rPr>
          <w:rFonts w:eastAsia="Times New Roman" w:cs="Times New Roman"/>
          <w:color w:val="333333"/>
          <w:spacing w:val="2"/>
          <w:vertAlign w:val="subscript"/>
          <w:lang w:eastAsia="en-GB"/>
        </w:rPr>
        <w:t>2</w:t>
      </w:r>
      <w:r w:rsidRPr="002709CC">
        <w:rPr>
          <w:rFonts w:eastAsia="Times New Roman" w:cs="Times New Roman"/>
          <w:color w:val="333333"/>
          <w:spacing w:val="2"/>
          <w:shd w:val="clear" w:color="auto" w:fill="FCFCFC"/>
          <w:lang w:eastAsia="en-GB"/>
        </w:rPr>
        <w:t xml:space="preserve">: </w:t>
      </w:r>
      <w:r w:rsidRPr="002709CC">
        <w:rPr>
          <w:rFonts w:eastAsia="Times New Roman" w:cs="Times New Roman"/>
          <w:b/>
          <w:bCs/>
          <w:color w:val="333333"/>
          <w:spacing w:val="2"/>
          <w:shd w:val="clear" w:color="auto" w:fill="FCFCFC"/>
          <w:lang w:eastAsia="en-GB"/>
        </w:rPr>
        <w:t>at the present rate of increase, one full-grown Iroko tree may stabilize concentration of CO</w:t>
      </w:r>
      <w:r w:rsidRPr="002709CC">
        <w:rPr>
          <w:rFonts w:eastAsia="Times New Roman" w:cs="Times New Roman"/>
          <w:b/>
          <w:bCs/>
          <w:color w:val="333333"/>
          <w:spacing w:val="2"/>
          <w:vertAlign w:val="subscript"/>
          <w:lang w:eastAsia="en-GB"/>
        </w:rPr>
        <w:t>2</w:t>
      </w:r>
      <w:r w:rsidRPr="002709CC">
        <w:rPr>
          <w:rFonts w:eastAsia="Times New Roman" w:cs="Times New Roman"/>
          <w:b/>
          <w:bCs/>
          <w:color w:val="333333"/>
          <w:spacing w:val="2"/>
          <w:shd w:val="clear" w:color="auto" w:fill="FCFCFC"/>
          <w:lang w:eastAsia="en-GB"/>
        </w:rPr>
        <w:t> in the air column above a 2,400 m</w:t>
      </w:r>
      <w:r w:rsidRPr="002709CC">
        <w:rPr>
          <w:rFonts w:eastAsia="Times New Roman" w:cs="Times New Roman"/>
          <w:b/>
          <w:bCs/>
          <w:color w:val="333333"/>
          <w:spacing w:val="2"/>
          <w:vertAlign w:val="superscript"/>
          <w:lang w:eastAsia="en-GB"/>
        </w:rPr>
        <w:t>2</w:t>
      </w:r>
      <w:r w:rsidRPr="002709CC">
        <w:rPr>
          <w:rFonts w:eastAsia="Times New Roman" w:cs="Times New Roman"/>
          <w:b/>
          <w:bCs/>
          <w:color w:val="333333"/>
          <w:spacing w:val="2"/>
          <w:shd w:val="clear" w:color="auto" w:fill="FCFCFC"/>
          <w:lang w:eastAsia="en-GB"/>
        </w:rPr>
        <w:t> surface</w:t>
      </w:r>
      <w:r w:rsidRPr="002709CC">
        <w:rPr>
          <w:rFonts w:eastAsia="Times New Roman" w:cs="Times New Roman"/>
          <w:color w:val="333333"/>
          <w:spacing w:val="2"/>
          <w:shd w:val="clear" w:color="auto" w:fill="FCFCFC"/>
          <w:lang w:eastAsia="en-GB"/>
        </w:rPr>
        <w:t>. This process may be applied in reforestation and agroforestry, as well as in conservation and sustainable development of tropical forests and soils.</w:t>
      </w:r>
      <w:r w:rsidR="00F176A7" w:rsidRPr="002709CC">
        <w:rPr>
          <w:rFonts w:eastAsia="Times New Roman" w:cs="Arial"/>
          <w:lang w:eastAsia="en-GB"/>
        </w:rPr>
        <w:t xml:space="preserve"> </w:t>
      </w:r>
    </w:p>
    <w:p w14:paraId="63E219AD" w14:textId="623B9347" w:rsidR="00F176A7" w:rsidRPr="002709CC" w:rsidRDefault="00F176A7" w:rsidP="007773F7">
      <w:pPr>
        <w:ind w:left="426"/>
        <w:jc w:val="both"/>
      </w:pPr>
      <w:r w:rsidRPr="002709CC">
        <w:t xml:space="preserve">(Note: In 2005 Dr. Cailleau </w:t>
      </w:r>
      <w:r w:rsidRPr="002709CC">
        <w:rPr>
          <w:i/>
          <w:iCs/>
        </w:rPr>
        <w:t>et al</w:t>
      </w:r>
      <w:r w:rsidRPr="002709CC">
        <w:t>. first observed large accumulations of limestone in African ferralitic soils under certain tree species, particularly the Iroko tree. In such soils, the pH under the tree was distinctly alkaline, reaching values between 8 and 9, whereas the soil at a distance was acidic with values &lt;6.</w:t>
      </w:r>
    </w:p>
    <w:p w14:paraId="5297BFD8" w14:textId="228E0321" w:rsidR="002471A8" w:rsidRPr="007773F7" w:rsidRDefault="00D32A7B" w:rsidP="007773F7">
      <w:pPr>
        <w:pStyle w:val="ListParagraph"/>
        <w:numPr>
          <w:ilvl w:val="0"/>
          <w:numId w:val="12"/>
        </w:numPr>
        <w:ind w:left="426" w:hanging="426"/>
        <w:jc w:val="both"/>
        <w:rPr>
          <w:rFonts w:eastAsia="Times New Roman" w:cs="Times New Roman"/>
          <w:lang w:eastAsia="en-GB"/>
        </w:rPr>
      </w:pPr>
      <w:r w:rsidRPr="0041686F">
        <w:rPr>
          <w:rFonts w:cs="Times New Roman"/>
          <w:color w:val="46443D"/>
          <w:shd w:val="clear" w:color="auto" w:fill="FFFFFF"/>
        </w:rPr>
        <w:t xml:space="preserve">For general comprehensive notes on </w:t>
      </w:r>
      <w:r w:rsidRPr="0041686F">
        <w:rPr>
          <w:rFonts w:cs="Times New Roman"/>
          <w:i/>
          <w:color w:val="46443D"/>
          <w:shd w:val="clear" w:color="auto" w:fill="FFFFFF"/>
        </w:rPr>
        <w:t>M</w:t>
      </w:r>
      <w:r w:rsidR="002A0E1F" w:rsidRPr="0041686F">
        <w:rPr>
          <w:rFonts w:cs="Times New Roman"/>
          <w:i/>
          <w:color w:val="46443D"/>
          <w:shd w:val="clear" w:color="auto" w:fill="FFFFFF"/>
        </w:rPr>
        <w:t>i</w:t>
      </w:r>
      <w:r w:rsidRPr="0041686F">
        <w:rPr>
          <w:rFonts w:cs="Times New Roman"/>
          <w:i/>
          <w:color w:val="46443D"/>
          <w:shd w:val="clear" w:color="auto" w:fill="FFFFFF"/>
        </w:rPr>
        <w:t>licia</w:t>
      </w:r>
      <w:r w:rsidR="009111D1" w:rsidRPr="0041686F">
        <w:rPr>
          <w:rFonts w:cs="Times New Roman"/>
          <w:i/>
          <w:color w:val="46443D"/>
          <w:shd w:val="clear" w:color="auto" w:fill="FFFFFF"/>
        </w:rPr>
        <w:t xml:space="preserve"> </w:t>
      </w:r>
      <w:r w:rsidRPr="0041686F">
        <w:rPr>
          <w:rFonts w:cs="Times New Roman"/>
          <w:i/>
          <w:color w:val="46443D"/>
          <w:shd w:val="clear" w:color="auto" w:fill="FFFFFF"/>
        </w:rPr>
        <w:t xml:space="preserve">excelsa </w:t>
      </w:r>
      <w:r w:rsidRPr="0041686F">
        <w:rPr>
          <w:rFonts w:cs="Times New Roman"/>
          <w:color w:val="46443D"/>
          <w:shd w:val="clear" w:color="auto" w:fill="FFFFFF"/>
        </w:rPr>
        <w:t xml:space="preserve">visit website:  </w:t>
      </w:r>
      <w:hyperlink r:id="rId9" w:history="1">
        <w:r w:rsidRPr="0041686F">
          <w:rPr>
            <w:rStyle w:val="Hyperlink"/>
            <w:rFonts w:cs="Times New Roman"/>
            <w:shd w:val="clear" w:color="auto" w:fill="FFFFFF"/>
          </w:rPr>
          <w:t>https://uses.plantnet-project.org/en/Milicia_excelsa_(PROTA)</w:t>
        </w:r>
      </w:hyperlink>
      <w:r w:rsidRPr="0041686F">
        <w:rPr>
          <w:rFonts w:cs="Times New Roman"/>
          <w:color w:val="46443D"/>
          <w:shd w:val="clear" w:color="auto" w:fill="FFFFFF"/>
        </w:rPr>
        <w:t xml:space="preserve"> </w:t>
      </w:r>
    </w:p>
    <w:p w14:paraId="3D1AD7E3" w14:textId="120DD867" w:rsidR="007773F7" w:rsidRDefault="007773F7" w:rsidP="007773F7">
      <w:pPr>
        <w:jc w:val="both"/>
      </w:pPr>
    </w:p>
    <w:p w14:paraId="38339606" w14:textId="2E0F3D45" w:rsidR="007773F7" w:rsidRDefault="007773F7" w:rsidP="007773F7">
      <w:pPr>
        <w:jc w:val="both"/>
      </w:pPr>
    </w:p>
    <w:p w14:paraId="19AE58C9" w14:textId="5090CCE4" w:rsidR="007773F7" w:rsidRDefault="007773F7" w:rsidP="007773F7">
      <w:pPr>
        <w:jc w:val="both"/>
      </w:pPr>
    </w:p>
    <w:p w14:paraId="5E1137AB" w14:textId="55918A17" w:rsidR="007773F7" w:rsidRDefault="007773F7" w:rsidP="007773F7">
      <w:pPr>
        <w:jc w:val="both"/>
      </w:pPr>
    </w:p>
    <w:p w14:paraId="4B6B6E92" w14:textId="77777777" w:rsidR="007773F7" w:rsidRPr="007773F7" w:rsidRDefault="007773F7" w:rsidP="007773F7">
      <w:pPr>
        <w:jc w:val="both"/>
      </w:pPr>
    </w:p>
    <w:p w14:paraId="29024022" w14:textId="77777777" w:rsidR="004726B1" w:rsidRPr="002709CC" w:rsidRDefault="004726B1" w:rsidP="00705CF2">
      <w:pPr>
        <w:pStyle w:val="ListParagraph"/>
        <w:jc w:val="both"/>
        <w:rPr>
          <w:rFonts w:eastAsia="Times New Roman" w:cs="Times New Roman"/>
          <w:lang w:eastAsia="en-GB"/>
        </w:rPr>
      </w:pPr>
    </w:p>
    <w:p w14:paraId="62672053" w14:textId="7951B253" w:rsidR="00151102" w:rsidRPr="0081506F" w:rsidRDefault="006C074A" w:rsidP="0081506F">
      <w:pPr>
        <w:pStyle w:val="ListParagraph"/>
        <w:numPr>
          <w:ilvl w:val="0"/>
          <w:numId w:val="41"/>
        </w:numPr>
        <w:autoSpaceDE w:val="0"/>
        <w:autoSpaceDN w:val="0"/>
        <w:adjustRightInd w:val="0"/>
        <w:spacing w:before="100" w:beforeAutospacing="1" w:after="100" w:afterAutospacing="1"/>
        <w:ind w:hanging="720"/>
        <w:jc w:val="both"/>
        <w:rPr>
          <w:b/>
          <w:u w:val="single"/>
        </w:rPr>
      </w:pPr>
      <w:r w:rsidRPr="0081506F">
        <w:rPr>
          <w:b/>
          <w:u w:val="single"/>
        </w:rPr>
        <w:lastRenderedPageBreak/>
        <w:t>SCIENTIFIC EVIDENCE ON BENEFITS OF COMPANION PLANTNG</w:t>
      </w:r>
      <w:r w:rsidR="00151102" w:rsidRPr="0081506F">
        <w:rPr>
          <w:b/>
          <w:u w:val="single"/>
        </w:rPr>
        <w:t xml:space="preserve"> </w:t>
      </w:r>
      <w:r w:rsidR="00B3411B" w:rsidRPr="0081506F">
        <w:rPr>
          <w:b/>
          <w:u w:val="single"/>
        </w:rPr>
        <w:t>with</w:t>
      </w:r>
      <w:r w:rsidR="00151102" w:rsidRPr="0081506F">
        <w:rPr>
          <w:b/>
          <w:u w:val="single"/>
        </w:rPr>
        <w:t xml:space="preserve"> </w:t>
      </w:r>
      <w:r w:rsidR="00151102" w:rsidRPr="0081506F">
        <w:rPr>
          <w:b/>
          <w:i/>
          <w:u w:val="single"/>
        </w:rPr>
        <w:t>M</w:t>
      </w:r>
      <w:r w:rsidR="004D6896" w:rsidRPr="0081506F">
        <w:rPr>
          <w:b/>
          <w:i/>
          <w:u w:val="single"/>
        </w:rPr>
        <w:t>.</w:t>
      </w:r>
      <w:r w:rsidR="00151102" w:rsidRPr="0081506F">
        <w:rPr>
          <w:b/>
          <w:i/>
          <w:u w:val="single"/>
        </w:rPr>
        <w:t xml:space="preserve"> excelsa</w:t>
      </w:r>
    </w:p>
    <w:p w14:paraId="5FA41B97" w14:textId="73ABD735" w:rsidR="006C074A" w:rsidRDefault="00412494" w:rsidP="00705CF2">
      <w:pPr>
        <w:pStyle w:val="ListParagraph"/>
        <w:autoSpaceDE w:val="0"/>
        <w:autoSpaceDN w:val="0"/>
        <w:adjustRightInd w:val="0"/>
        <w:spacing w:before="100" w:beforeAutospacing="1" w:after="100" w:afterAutospacing="1"/>
        <w:jc w:val="both"/>
        <w:rPr>
          <w:rFonts w:eastAsia="Times New Roman" w:cs="Times New Roman"/>
          <w:bCs/>
        </w:rPr>
      </w:pPr>
      <w:r w:rsidRPr="00412494">
        <w:rPr>
          <w:rFonts w:eastAsia="Times New Roman" w:cs="Times New Roman"/>
          <w:bCs/>
        </w:rPr>
        <w:t xml:space="preserve">The papers below indicate the physiology, biomass and carbon capture potential of the two key companion species </w:t>
      </w:r>
      <w:r>
        <w:rPr>
          <w:rFonts w:eastAsia="Times New Roman" w:cs="Times New Roman"/>
          <w:bCs/>
        </w:rPr>
        <w:t xml:space="preserve">identified </w:t>
      </w:r>
      <w:r w:rsidRPr="00412494">
        <w:rPr>
          <w:rFonts w:eastAsia="Times New Roman" w:cs="Times New Roman"/>
          <w:bCs/>
        </w:rPr>
        <w:t xml:space="preserve">for planting with Mvule. </w:t>
      </w:r>
      <w:r>
        <w:rPr>
          <w:rFonts w:eastAsia="Times New Roman" w:cs="Times New Roman"/>
          <w:bCs/>
        </w:rPr>
        <w:t xml:space="preserve"> Scientific studies on the status of Terminalia superba as an oxalogenic tree is still awaiting although other Terminalia in the genus have been identified as oxalogenic </w:t>
      </w:r>
      <w:r w:rsidR="00F728E1">
        <w:rPr>
          <w:rFonts w:eastAsia="Times New Roman" w:cs="Times New Roman"/>
          <w:bCs/>
        </w:rPr>
        <w:t>e.g.</w:t>
      </w:r>
      <w:r>
        <w:rPr>
          <w:rFonts w:eastAsia="Times New Roman" w:cs="Times New Roman"/>
          <w:bCs/>
        </w:rPr>
        <w:t xml:space="preserve"> </w:t>
      </w:r>
      <w:r w:rsidR="00867354" w:rsidRPr="00867354">
        <w:rPr>
          <w:rFonts w:eastAsia="Times New Roman" w:cs="Times New Roman"/>
          <w:bCs/>
          <w:i/>
          <w:iCs/>
        </w:rPr>
        <w:t>T.bellirica</w:t>
      </w:r>
      <w:r>
        <w:rPr>
          <w:rFonts w:eastAsia="Times New Roman" w:cs="Times New Roman"/>
          <w:bCs/>
        </w:rPr>
        <w:t xml:space="preserve"> and </w:t>
      </w:r>
      <w:r w:rsidRPr="00867354">
        <w:rPr>
          <w:rFonts w:eastAsia="Times New Roman" w:cs="Times New Roman"/>
          <w:bCs/>
          <w:i/>
          <w:iCs/>
        </w:rPr>
        <w:t>T.oblonga</w:t>
      </w:r>
      <w:r>
        <w:rPr>
          <w:rFonts w:eastAsia="Times New Roman" w:cs="Times New Roman"/>
          <w:bCs/>
        </w:rPr>
        <w:t xml:space="preserve">. </w:t>
      </w:r>
    </w:p>
    <w:p w14:paraId="226BEEDD" w14:textId="0A37FBA5" w:rsidR="00B04586" w:rsidRDefault="00B04586" w:rsidP="00705CF2">
      <w:pPr>
        <w:pStyle w:val="ListParagraph"/>
        <w:autoSpaceDE w:val="0"/>
        <w:autoSpaceDN w:val="0"/>
        <w:adjustRightInd w:val="0"/>
        <w:spacing w:before="100" w:beforeAutospacing="1" w:after="100" w:afterAutospacing="1"/>
        <w:jc w:val="both"/>
        <w:rPr>
          <w:rFonts w:eastAsia="Times New Roman" w:cs="Times New Roman"/>
          <w:b/>
          <w:sz w:val="28"/>
          <w:szCs w:val="28"/>
          <w:u w:val="single"/>
        </w:rPr>
      </w:pPr>
      <w:r w:rsidRPr="00B04586">
        <w:rPr>
          <w:rFonts w:eastAsia="Times New Roman" w:cs="Times New Roman"/>
          <w:b/>
          <w:sz w:val="28"/>
          <w:szCs w:val="28"/>
          <w:u w:val="single"/>
        </w:rPr>
        <w:t xml:space="preserve">B1. </w:t>
      </w:r>
      <w:r w:rsidRPr="0030072E">
        <w:rPr>
          <w:rFonts w:eastAsia="Times New Roman" w:cs="Times New Roman"/>
          <w:b/>
          <w:i/>
          <w:iCs/>
          <w:sz w:val="28"/>
          <w:szCs w:val="28"/>
          <w:u w:val="single"/>
        </w:rPr>
        <w:t>Maesopsis eminii</w:t>
      </w:r>
      <w:r w:rsidRPr="00B04586">
        <w:rPr>
          <w:rFonts w:eastAsia="Times New Roman" w:cs="Times New Roman"/>
          <w:b/>
          <w:sz w:val="28"/>
          <w:szCs w:val="28"/>
          <w:u w:val="single"/>
        </w:rPr>
        <w:t xml:space="preserve"> (Musizi)</w:t>
      </w:r>
    </w:p>
    <w:p w14:paraId="20BDAC3B" w14:textId="637F49A6" w:rsidR="0030072E" w:rsidRPr="0030072E" w:rsidRDefault="0030072E" w:rsidP="00705CF2">
      <w:pPr>
        <w:pStyle w:val="ListParagraph"/>
        <w:autoSpaceDE w:val="0"/>
        <w:autoSpaceDN w:val="0"/>
        <w:adjustRightInd w:val="0"/>
        <w:spacing w:before="100" w:beforeAutospacing="1" w:after="100" w:afterAutospacing="1"/>
        <w:jc w:val="both"/>
        <w:rPr>
          <w:rFonts w:eastAsia="Times New Roman" w:cs="Times New Roman"/>
          <w:bCs/>
        </w:rPr>
      </w:pPr>
      <w:r w:rsidRPr="0030072E">
        <w:rPr>
          <w:rFonts w:eastAsia="Times New Roman" w:cs="Times New Roman"/>
          <w:b/>
        </w:rPr>
        <w:t xml:space="preserve">General:  </w:t>
      </w:r>
      <w:r w:rsidRPr="0030072E">
        <w:rPr>
          <w:rFonts w:eastAsia="Times New Roman" w:cs="Times New Roman"/>
          <w:bCs/>
        </w:rPr>
        <w:t>Indigenous tropical tree, fast growing</w:t>
      </w:r>
      <w:r w:rsidR="001A4791">
        <w:rPr>
          <w:rFonts w:eastAsia="Times New Roman" w:cs="Times New Roman"/>
          <w:bCs/>
        </w:rPr>
        <w:t xml:space="preserve"> light-demanding pioneer species</w:t>
      </w:r>
      <w:r w:rsidRPr="0030072E">
        <w:rPr>
          <w:rFonts w:eastAsia="Times New Roman" w:cs="Times New Roman"/>
          <w:bCs/>
        </w:rPr>
        <w:t>, semi-deciduous (deciduous under severe drought)</w:t>
      </w:r>
      <w:r>
        <w:rPr>
          <w:rFonts w:eastAsia="Times New Roman" w:cs="Times New Roman"/>
          <w:bCs/>
        </w:rPr>
        <w:t>, density 370-480 kg/m</w:t>
      </w:r>
      <w:r w:rsidRPr="0030072E">
        <w:rPr>
          <w:rFonts w:eastAsia="Times New Roman" w:cs="Times New Roman"/>
          <w:bCs/>
          <w:vertAlign w:val="superscript"/>
        </w:rPr>
        <w:sym w:font="Symbol" w:char="F02D"/>
      </w:r>
      <w:r w:rsidRPr="0030072E">
        <w:rPr>
          <w:rFonts w:eastAsia="Times New Roman" w:cs="Times New Roman"/>
          <w:bCs/>
          <w:vertAlign w:val="superscript"/>
        </w:rPr>
        <w:t>3</w:t>
      </w:r>
      <w:r>
        <w:rPr>
          <w:rFonts w:eastAsia="Times New Roman" w:cs="Times New Roman"/>
          <w:bCs/>
        </w:rPr>
        <w:t>; dbh</w:t>
      </w:r>
      <w:r w:rsidR="001A4791">
        <w:rPr>
          <w:rFonts w:eastAsia="Times New Roman" w:cs="Times New Roman"/>
          <w:bCs/>
        </w:rPr>
        <w:t xml:space="preserve"> @ maturity 50-180cm; height @ maturity 40m, branch ageing (self-pruning) 10-35m, unbuttressed, lateral &amp; deep tap root, shade intolerant from one year. </w:t>
      </w:r>
    </w:p>
    <w:p w14:paraId="1F2FDD5F" w14:textId="58C7B4A4" w:rsidR="00432D9A" w:rsidRPr="00432D9A" w:rsidRDefault="00FC2C04" w:rsidP="00432D9A">
      <w:pPr>
        <w:pStyle w:val="ListParagraph"/>
        <w:numPr>
          <w:ilvl w:val="0"/>
          <w:numId w:val="13"/>
        </w:numPr>
        <w:spacing w:before="100" w:beforeAutospacing="1" w:after="100" w:afterAutospacing="1"/>
        <w:jc w:val="both"/>
        <w:rPr>
          <w:rFonts w:eastAsia="Times New Roman" w:cstheme="minorHAnsi"/>
          <w:b/>
          <w:bCs/>
          <w:lang w:eastAsia="en-GB"/>
        </w:rPr>
      </w:pPr>
      <w:r w:rsidRPr="00BE64E1">
        <w:rPr>
          <w:rFonts w:eastAsia="Times New Roman" w:cstheme="minorHAnsi"/>
          <w:b/>
          <w:bCs/>
          <w:lang w:eastAsia="en-GB"/>
        </w:rPr>
        <w:t>Buchhholz T. et</w:t>
      </w:r>
      <w:r w:rsidR="00C6616C" w:rsidRPr="00BE64E1">
        <w:rPr>
          <w:rFonts w:eastAsia="Times New Roman" w:cstheme="minorHAnsi"/>
          <w:b/>
          <w:bCs/>
          <w:lang w:eastAsia="en-GB"/>
        </w:rPr>
        <w:t xml:space="preserve"> </w:t>
      </w:r>
      <w:r w:rsidRPr="00BE64E1">
        <w:rPr>
          <w:rFonts w:eastAsia="Times New Roman" w:cstheme="minorHAnsi"/>
          <w:b/>
          <w:bCs/>
          <w:lang w:eastAsia="en-GB"/>
        </w:rPr>
        <w:t xml:space="preserve">al. (2004). </w:t>
      </w:r>
      <w:r w:rsidRPr="00BE64E1">
        <w:rPr>
          <w:rFonts w:eastAsia="Times New Roman" w:cstheme="minorHAnsi"/>
          <w:b/>
          <w:bCs/>
          <w:i/>
          <w:iCs/>
          <w:lang w:eastAsia="en-GB"/>
        </w:rPr>
        <w:t xml:space="preserve">Maesopsis eminii </w:t>
      </w:r>
      <w:r w:rsidRPr="00BE64E1">
        <w:rPr>
          <w:rFonts w:eastAsia="Times New Roman" w:cstheme="minorHAnsi"/>
          <w:b/>
          <w:bCs/>
          <w:lang w:eastAsia="en-GB"/>
        </w:rPr>
        <w:t xml:space="preserve">- a challenging timber tree species in Uganda - a production model for commercial forestry and smallholders. </w:t>
      </w:r>
      <w:r w:rsidRPr="00044907">
        <w:rPr>
          <w:rFonts w:eastAsia="Times New Roman" w:cstheme="minorHAnsi"/>
          <w:b/>
          <w:bCs/>
          <w:lang w:eastAsia="en-GB"/>
        </w:rPr>
        <w:t>Paper presented at a IUFRO conference</w:t>
      </w:r>
      <w:r w:rsidR="00AC4AED" w:rsidRPr="00044907">
        <w:rPr>
          <w:rFonts w:eastAsia="Times New Roman" w:cstheme="minorHAnsi"/>
          <w:b/>
          <w:bCs/>
          <w:lang w:eastAsia="en-GB"/>
        </w:rPr>
        <w:t>, Lugo, Spain.15p.</w:t>
      </w:r>
      <w:r w:rsidRPr="00044907">
        <w:rPr>
          <w:rFonts w:eastAsia="Times New Roman" w:cstheme="minorHAnsi"/>
          <w:b/>
          <w:bCs/>
          <w:lang w:eastAsia="en-GB"/>
        </w:rPr>
        <w:t xml:space="preserve"> </w:t>
      </w:r>
      <w:r w:rsidR="005A7555">
        <w:rPr>
          <w:rFonts w:eastAsia="Times New Roman" w:cstheme="minorHAnsi"/>
          <w:b/>
          <w:bCs/>
          <w:lang w:eastAsia="en-GB"/>
        </w:rPr>
        <w:t xml:space="preserve"> </w:t>
      </w:r>
      <w:r w:rsidR="003D743B" w:rsidRPr="00432D9A">
        <w:rPr>
          <w:rFonts w:cstheme="minorHAnsi"/>
        </w:rPr>
        <w:t>This technical specification explores the carbon sequestration potential of Maesopsis</w:t>
      </w:r>
      <w:r w:rsidR="00432D9A" w:rsidRPr="00432D9A">
        <w:rPr>
          <w:rFonts w:cstheme="minorHAnsi"/>
        </w:rPr>
        <w:t xml:space="preserve"> and benefits to farmers</w:t>
      </w:r>
      <w:r w:rsidR="003D743B" w:rsidRPr="00432D9A">
        <w:rPr>
          <w:rFonts w:cstheme="minorHAnsi"/>
        </w:rPr>
        <w:t xml:space="preserve">. In woodlots described rotations are 12-20 years for timber, with </w:t>
      </w:r>
      <w:r w:rsidR="007A7293">
        <w:rPr>
          <w:rFonts w:cstheme="minorHAnsi"/>
        </w:rPr>
        <w:t xml:space="preserve">high quality </w:t>
      </w:r>
      <w:r w:rsidR="003D743B" w:rsidRPr="00432D9A">
        <w:rPr>
          <w:rFonts w:cstheme="minorHAnsi"/>
        </w:rPr>
        <w:t xml:space="preserve">fuel wood harvesting </w:t>
      </w:r>
      <w:r w:rsidR="007A7293">
        <w:rPr>
          <w:rFonts w:cstheme="minorHAnsi"/>
        </w:rPr>
        <w:t>in early years</w:t>
      </w:r>
      <w:r w:rsidR="003D743B" w:rsidRPr="00432D9A">
        <w:rPr>
          <w:rFonts w:cstheme="minorHAnsi"/>
        </w:rPr>
        <w:t xml:space="preserve">.  </w:t>
      </w:r>
      <w:r w:rsidR="00432D9A" w:rsidRPr="00432D9A">
        <w:rPr>
          <w:rFonts w:cstheme="minorHAnsi"/>
          <w:lang w:eastAsia="en-GB"/>
        </w:rPr>
        <w:t xml:space="preserve">Some farmers are using Maesopsis for provision of shade under coffee and banana land use systems. It has long been established that shade coffee yields better and is of superior quality than the conventional un-shaded coffee. Other products and services from Maesopsis woodlots include fodder (fruits), support to honey production, and restoration of positive environmental and ecological functioning in heavily degraded areas. Such functions include: runoff and soil erosion control, micro- climatic modifications, and increased terrestrial biodiversity (e.g. birds). </w:t>
      </w:r>
    </w:p>
    <w:p w14:paraId="1D55658D" w14:textId="0A4C44D4" w:rsidR="003D743B" w:rsidRPr="003D743B" w:rsidRDefault="003D743B" w:rsidP="003D743B">
      <w:pPr>
        <w:pStyle w:val="ListParagraph"/>
        <w:spacing w:before="100" w:beforeAutospacing="1" w:after="100" w:afterAutospacing="1"/>
        <w:rPr>
          <w:rFonts w:cstheme="minorHAnsi"/>
        </w:rPr>
      </w:pPr>
    </w:p>
    <w:p w14:paraId="0FB815AD" w14:textId="20A354D0" w:rsidR="003D743B" w:rsidRPr="003D743B" w:rsidRDefault="003D743B" w:rsidP="003D743B">
      <w:pPr>
        <w:pStyle w:val="ListParagraph"/>
        <w:spacing w:before="100" w:beforeAutospacing="1" w:after="100" w:afterAutospacing="1"/>
        <w:jc w:val="center"/>
        <w:rPr>
          <w:rFonts w:cstheme="minorHAnsi"/>
          <w:b/>
          <w:bCs/>
        </w:rPr>
      </w:pPr>
      <w:r w:rsidRPr="003D743B">
        <w:rPr>
          <w:rFonts w:cstheme="minorHAnsi"/>
          <w:b/>
          <w:bCs/>
        </w:rPr>
        <w:t>Table 1: Maesopsis growth in its optimum range.</w:t>
      </w:r>
    </w:p>
    <w:p w14:paraId="10008FCE" w14:textId="27000926" w:rsidR="003D743B" w:rsidRPr="003D743B" w:rsidRDefault="003D743B" w:rsidP="003D743B">
      <w:pPr>
        <w:spacing w:before="100" w:beforeAutospacing="1" w:after="100" w:afterAutospacing="1"/>
        <w:ind w:firstLine="1134"/>
        <w:jc w:val="both"/>
        <w:rPr>
          <w:rFonts w:cstheme="minorHAnsi"/>
          <w:b/>
          <w:bCs/>
        </w:rPr>
      </w:pPr>
      <w:r>
        <w:rPr>
          <w:rFonts w:cstheme="minorHAnsi"/>
          <w:b/>
          <w:bCs/>
          <w:noProof/>
        </w:rPr>
        <w:drawing>
          <wp:inline distT="0" distB="0" distL="0" distR="0" wp14:anchorId="476BCB79" wp14:editId="448B3A33">
            <wp:extent cx="5092700" cy="1588222"/>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3287" cy="1594642"/>
                    </a:xfrm>
                    <a:prstGeom prst="rect">
                      <a:avLst/>
                    </a:prstGeom>
                  </pic:spPr>
                </pic:pic>
              </a:graphicData>
            </a:graphic>
          </wp:inline>
        </w:drawing>
      </w:r>
    </w:p>
    <w:p w14:paraId="6416BF36" w14:textId="77777777" w:rsidR="003D743B" w:rsidRDefault="003D743B" w:rsidP="001443B2">
      <w:pPr>
        <w:pStyle w:val="ListParagraph"/>
        <w:spacing w:before="100" w:beforeAutospacing="1" w:after="100" w:afterAutospacing="1"/>
        <w:ind w:firstLine="720"/>
        <w:jc w:val="both"/>
        <w:rPr>
          <w:rFonts w:eastAsia="Times New Roman" w:cstheme="minorHAnsi"/>
          <w:lang w:eastAsia="en-GB"/>
        </w:rPr>
      </w:pPr>
    </w:p>
    <w:p w14:paraId="1EDB4F24" w14:textId="093C29A8" w:rsidR="001443B2" w:rsidRPr="003D743B" w:rsidRDefault="001443B2" w:rsidP="001443B2">
      <w:pPr>
        <w:pStyle w:val="ListParagraph"/>
        <w:spacing w:before="100" w:beforeAutospacing="1" w:after="100" w:afterAutospacing="1"/>
        <w:ind w:firstLine="720"/>
        <w:jc w:val="both"/>
        <w:rPr>
          <w:rFonts w:eastAsia="Times New Roman" w:cstheme="minorHAnsi"/>
          <w:b/>
          <w:bCs/>
          <w:lang w:eastAsia="en-GB"/>
        </w:rPr>
      </w:pPr>
      <w:r w:rsidRPr="003D743B">
        <w:rPr>
          <w:rFonts w:eastAsia="Times New Roman" w:cstheme="minorHAnsi"/>
          <w:b/>
          <w:bCs/>
          <w:lang w:eastAsia="en-GB"/>
        </w:rPr>
        <w:t xml:space="preserve">Figure 2 carbon accumulation under sole M.eminii woodlots. </w:t>
      </w:r>
    </w:p>
    <w:p w14:paraId="56440571" w14:textId="4E8049DD" w:rsidR="001443B2" w:rsidRPr="001443B2" w:rsidRDefault="001443B2" w:rsidP="001443B2">
      <w:pPr>
        <w:spacing w:before="100" w:beforeAutospacing="1" w:after="100" w:afterAutospacing="1"/>
        <w:ind w:firstLine="993"/>
        <w:jc w:val="both"/>
        <w:rPr>
          <w:rFonts w:cstheme="minorHAnsi"/>
          <w:b/>
          <w:bCs/>
        </w:rPr>
      </w:pPr>
      <w:r>
        <w:rPr>
          <w:rFonts w:cstheme="minorHAnsi"/>
          <w:b/>
          <w:bCs/>
          <w:noProof/>
        </w:rPr>
        <w:drawing>
          <wp:inline distT="0" distB="0" distL="0" distR="0" wp14:anchorId="761F1AF1" wp14:editId="26EC79B5">
            <wp:extent cx="4774565" cy="2467741"/>
            <wp:effectExtent l="0" t="0" r="635"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9728" cy="2480747"/>
                    </a:xfrm>
                    <a:prstGeom prst="rect">
                      <a:avLst/>
                    </a:prstGeom>
                  </pic:spPr>
                </pic:pic>
              </a:graphicData>
            </a:graphic>
          </wp:inline>
        </w:drawing>
      </w:r>
    </w:p>
    <w:p w14:paraId="46BFF2C7" w14:textId="347CB809" w:rsidR="001443B2" w:rsidRPr="00432D9A" w:rsidRDefault="001443B2" w:rsidP="00432D9A">
      <w:pPr>
        <w:pStyle w:val="ListParagraph"/>
        <w:spacing w:before="100" w:beforeAutospacing="1" w:after="100" w:afterAutospacing="1"/>
        <w:jc w:val="both"/>
        <w:rPr>
          <w:rFonts w:eastAsia="Times New Roman" w:cstheme="minorHAnsi"/>
          <w:lang w:eastAsia="en-GB"/>
        </w:rPr>
      </w:pPr>
      <w:r w:rsidRPr="00C66739">
        <w:rPr>
          <w:rFonts w:eastAsia="Times New Roman" w:cstheme="minorHAnsi"/>
          <w:lang w:eastAsia="en-GB"/>
        </w:rPr>
        <w:lastRenderedPageBreak/>
        <w:t>The above graph is for a plot of 50 M</w:t>
      </w:r>
      <w:r w:rsidR="00432D9A">
        <w:rPr>
          <w:rFonts w:eastAsia="Times New Roman" w:cstheme="minorHAnsi"/>
          <w:lang w:eastAsia="en-GB"/>
        </w:rPr>
        <w:t xml:space="preserve">aesopsis </w:t>
      </w:r>
      <w:r w:rsidRPr="00C66739">
        <w:rPr>
          <w:rFonts w:eastAsia="Times New Roman" w:cstheme="minorHAnsi"/>
          <w:lang w:eastAsia="en-GB"/>
        </w:rPr>
        <w:t xml:space="preserve">eminii trees after thinning. </w:t>
      </w:r>
      <w:r w:rsidR="00C66739">
        <w:rPr>
          <w:rFonts w:eastAsia="Times New Roman" w:cstheme="minorHAnsi"/>
          <w:lang w:eastAsia="en-GB"/>
        </w:rPr>
        <w:t>T</w:t>
      </w:r>
      <w:r w:rsidRPr="00C66739">
        <w:rPr>
          <w:rFonts w:eastAsia="Times New Roman" w:cstheme="minorHAnsi"/>
          <w:lang w:eastAsia="en-GB"/>
        </w:rPr>
        <w:t xml:space="preserve">he graph indicates </w:t>
      </w:r>
      <w:r w:rsidR="00C66739" w:rsidRPr="00C66739">
        <w:rPr>
          <w:rFonts w:eastAsia="Times New Roman" w:cstheme="minorHAnsi"/>
          <w:lang w:eastAsia="en-GB"/>
        </w:rPr>
        <w:t>at 20yrs 120 tonnes carbon sequestered</w:t>
      </w:r>
      <w:r w:rsidR="00C66739">
        <w:rPr>
          <w:rFonts w:eastAsia="Times New Roman" w:cstheme="minorHAnsi"/>
          <w:lang w:eastAsia="en-GB"/>
        </w:rPr>
        <w:t xml:space="preserve"> by</w:t>
      </w:r>
      <w:r w:rsidR="00432D9A">
        <w:rPr>
          <w:rFonts w:eastAsia="Times New Roman" w:cstheme="minorHAnsi"/>
          <w:lang w:eastAsia="en-GB"/>
        </w:rPr>
        <w:t xml:space="preserve"> </w:t>
      </w:r>
      <w:r w:rsidR="00C66739" w:rsidRPr="00C66739">
        <w:rPr>
          <w:rFonts w:eastAsia="Times New Roman" w:cstheme="minorHAnsi"/>
          <w:lang w:eastAsia="en-GB"/>
        </w:rPr>
        <w:t>50 trees after thinning</w:t>
      </w:r>
      <w:r w:rsidR="00432D9A">
        <w:rPr>
          <w:rFonts w:eastAsia="Times New Roman" w:cstheme="minorHAnsi"/>
          <w:lang w:eastAsia="en-GB"/>
        </w:rPr>
        <w:t xml:space="preserve">. (IDE: This equates roughly to </w:t>
      </w:r>
      <w:r w:rsidR="00C66739" w:rsidRPr="00C66739">
        <w:rPr>
          <w:rFonts w:eastAsia="Times New Roman" w:cstheme="minorHAnsi"/>
          <w:lang w:eastAsia="en-GB"/>
        </w:rPr>
        <w:t>2.4 t/C/per tree = 8.8 t/C02/per tree at 20</w:t>
      </w:r>
      <w:r w:rsidR="00432D9A">
        <w:rPr>
          <w:rFonts w:eastAsia="Times New Roman" w:cstheme="minorHAnsi"/>
          <w:lang w:eastAsia="en-GB"/>
        </w:rPr>
        <w:t xml:space="preserve"> </w:t>
      </w:r>
      <w:r w:rsidR="00C66739" w:rsidRPr="00C66739">
        <w:rPr>
          <w:rFonts w:eastAsia="Times New Roman" w:cstheme="minorHAnsi"/>
          <w:lang w:eastAsia="en-GB"/>
        </w:rPr>
        <w:t xml:space="preserve">yrs. </w:t>
      </w:r>
      <w:r w:rsidRPr="00C66739">
        <w:rPr>
          <w:rFonts w:eastAsia="Times New Roman" w:cstheme="minorHAnsi"/>
          <w:lang w:eastAsia="en-GB"/>
        </w:rPr>
        <w:t xml:space="preserve"> </w:t>
      </w:r>
    </w:p>
    <w:p w14:paraId="7EF0C98B" w14:textId="77777777" w:rsidR="005A7555" w:rsidRDefault="004C2697" w:rsidP="001A4791">
      <w:pPr>
        <w:pStyle w:val="ListParagraph"/>
        <w:numPr>
          <w:ilvl w:val="0"/>
          <w:numId w:val="13"/>
        </w:numPr>
        <w:spacing w:before="100" w:beforeAutospacing="1" w:after="100" w:afterAutospacing="1"/>
        <w:jc w:val="both"/>
        <w:rPr>
          <w:rFonts w:eastAsia="Times New Roman" w:cstheme="minorHAnsi"/>
          <w:lang w:eastAsia="en-GB"/>
        </w:rPr>
      </w:pPr>
      <w:r>
        <w:rPr>
          <w:rFonts w:eastAsia="Times New Roman" w:cstheme="minorHAnsi"/>
          <w:b/>
          <w:bCs/>
          <w:lang w:eastAsia="en-GB"/>
        </w:rPr>
        <w:t>Buchholz t</w:t>
      </w:r>
      <w:r w:rsidRPr="004C2697">
        <w:rPr>
          <w:rFonts w:eastAsia="Times New Roman" w:cstheme="minorHAnsi"/>
          <w:b/>
          <w:bCs/>
          <w:lang w:eastAsia="en-GB"/>
        </w:rPr>
        <w:t>. et al. (2010). Modelling heliotropic tree growth in hardwood tree species – A case study of Maesopsis eminii</w:t>
      </w:r>
      <w:r>
        <w:rPr>
          <w:rFonts w:eastAsia="Times New Roman" w:cstheme="minorHAnsi"/>
          <w:lang w:eastAsia="en-GB"/>
        </w:rPr>
        <w:t xml:space="preserve">. </w:t>
      </w:r>
      <w:r w:rsidRPr="00044907">
        <w:rPr>
          <w:rFonts w:eastAsia="Times New Roman" w:cstheme="minorHAnsi"/>
          <w:b/>
          <w:bCs/>
          <w:u w:val="single"/>
          <w:lang w:eastAsia="en-GB"/>
        </w:rPr>
        <w:t>Forest Ecology.</w:t>
      </w:r>
      <w:r w:rsidRPr="00044907">
        <w:rPr>
          <w:rFonts w:eastAsia="Times New Roman" w:cstheme="minorHAnsi"/>
          <w:b/>
          <w:bCs/>
          <w:lang w:eastAsia="en-GB"/>
        </w:rPr>
        <w:t xml:space="preserve"> V260, 10, pp 1656-1663.</w:t>
      </w:r>
      <w:r>
        <w:rPr>
          <w:rFonts w:eastAsia="Times New Roman" w:cstheme="minorHAnsi"/>
          <w:lang w:eastAsia="en-GB"/>
        </w:rPr>
        <w:t xml:space="preserve"> Emphasises the genetic feature of strong apical dominance which results in fast straight bole development relative to branches.</w:t>
      </w:r>
      <w:r w:rsidR="000322FC">
        <w:rPr>
          <w:rFonts w:eastAsia="Times New Roman" w:cstheme="minorHAnsi"/>
          <w:lang w:eastAsia="en-GB"/>
        </w:rPr>
        <w:t xml:space="preserve"> </w:t>
      </w:r>
      <w:r>
        <w:rPr>
          <w:rFonts w:eastAsia="Times New Roman" w:cstheme="minorHAnsi"/>
          <w:lang w:eastAsia="en-GB"/>
        </w:rPr>
        <w:t xml:space="preserve">Useful growth data for 285 sampled trees of known ages 1.5yrs to 38 yrs by dbh and height. </w:t>
      </w:r>
    </w:p>
    <w:p w14:paraId="36370D96" w14:textId="4978555B" w:rsidR="007773F7" w:rsidRPr="007773F7" w:rsidRDefault="005A7555" w:rsidP="007773F7">
      <w:pPr>
        <w:pStyle w:val="ListParagraph"/>
        <w:spacing w:before="100" w:beforeAutospacing="1" w:after="100" w:afterAutospacing="1"/>
        <w:jc w:val="both"/>
        <w:rPr>
          <w:rFonts w:cstheme="minorHAnsi"/>
          <w:b/>
          <w:bCs/>
        </w:rPr>
      </w:pPr>
      <w:r>
        <w:rPr>
          <w:rFonts w:eastAsia="Times New Roman" w:cstheme="minorHAnsi"/>
          <w:b/>
          <w:bCs/>
          <w:lang w:eastAsia="en-GB"/>
        </w:rPr>
        <w:t xml:space="preserve">                         </w:t>
      </w:r>
      <w:r w:rsidRPr="005A7555">
        <w:rPr>
          <w:rFonts w:cstheme="minorHAnsi"/>
        </w:rPr>
        <w:t xml:space="preserve">  </w:t>
      </w:r>
      <w:r w:rsidRPr="005A7555">
        <w:rPr>
          <w:rFonts w:cstheme="minorHAnsi"/>
          <w:b/>
          <w:bCs/>
        </w:rPr>
        <w:t>M.eminii Growth Rates (adapted from Table 1, p.1658</w:t>
      </w:r>
      <w:r w:rsidR="006B5697">
        <w:rPr>
          <w:rFonts w:cstheme="minorHAnsi"/>
          <w:b/>
          <w:bCs/>
        </w:rPr>
        <w:t>)</w:t>
      </w:r>
      <w:r w:rsidRPr="005A7555">
        <w:rPr>
          <w:rFonts w:cstheme="minorHAnsi"/>
          <w:b/>
          <w:bCs/>
        </w:rPr>
        <w:t xml:space="preserve">. </w:t>
      </w:r>
    </w:p>
    <w:p w14:paraId="68184335" w14:textId="68BEE88A" w:rsidR="007773F7" w:rsidRPr="00432D9A" w:rsidRDefault="001A4791" w:rsidP="00432D9A">
      <w:pPr>
        <w:spacing w:before="100" w:beforeAutospacing="1" w:after="100" w:afterAutospacing="1"/>
        <w:ind w:firstLine="1134"/>
        <w:jc w:val="both"/>
        <w:rPr>
          <w:rFonts w:cstheme="minorHAnsi"/>
        </w:rPr>
      </w:pPr>
      <w:r>
        <w:rPr>
          <w:rFonts w:cstheme="minorHAnsi"/>
        </w:rPr>
        <w:t xml:space="preserve">            </w:t>
      </w:r>
      <w:r w:rsidR="005A7555">
        <w:rPr>
          <w:rFonts w:cstheme="minorHAnsi"/>
          <w:noProof/>
        </w:rPr>
        <w:drawing>
          <wp:inline distT="0" distB="0" distL="0" distR="0" wp14:anchorId="61FFBA7D" wp14:editId="25CCA49F">
            <wp:extent cx="3975681" cy="1895281"/>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2684" cy="2032101"/>
                    </a:xfrm>
                    <a:prstGeom prst="rect">
                      <a:avLst/>
                    </a:prstGeom>
                  </pic:spPr>
                </pic:pic>
              </a:graphicData>
            </a:graphic>
          </wp:inline>
        </w:drawing>
      </w:r>
    </w:p>
    <w:p w14:paraId="48A562B9" w14:textId="038A34CD" w:rsidR="00B04586" w:rsidRPr="00B04586" w:rsidRDefault="00B04586" w:rsidP="00B04586">
      <w:pPr>
        <w:pStyle w:val="NormalWeb"/>
        <w:numPr>
          <w:ilvl w:val="0"/>
          <w:numId w:val="13"/>
        </w:numPr>
        <w:rPr>
          <w:rFonts w:ascii="TimesNewRomanPSMT" w:hAnsi="TimesNewRomanPSMT"/>
          <w:b/>
          <w:bCs/>
          <w:color w:val="050707"/>
          <w:shd w:val="clear" w:color="auto" w:fill="FFFFFF"/>
        </w:rPr>
      </w:pPr>
      <w:r w:rsidRPr="00DF78BF">
        <w:rPr>
          <w:rFonts w:ascii="TimesNewRomanPSMT" w:hAnsi="TimesNewRomanPSMT"/>
          <w:b/>
          <w:bCs/>
          <w:color w:val="050707"/>
        </w:rPr>
        <w:t xml:space="preserve">Epila, J. (2016). Ecophysiological assessment of drought vulnerability of the African tropical tree species </w:t>
      </w:r>
      <w:r w:rsidRPr="00DF78BF">
        <w:rPr>
          <w:rFonts w:ascii="TimesNewRomanPS" w:hAnsi="TimesNewRomanPS"/>
          <w:b/>
          <w:bCs/>
          <w:i/>
          <w:iCs/>
          <w:color w:val="050707"/>
        </w:rPr>
        <w:t xml:space="preserve">Maesopsis eminii </w:t>
      </w:r>
      <w:r w:rsidRPr="00DF78BF">
        <w:rPr>
          <w:rFonts w:ascii="TimesNewRomanPSMT" w:hAnsi="TimesNewRomanPSMT"/>
          <w:b/>
          <w:bCs/>
          <w:color w:val="050707"/>
        </w:rPr>
        <w:t xml:space="preserve">Engl.. PhD Thesis, Ghent University, Belgium. </w:t>
      </w:r>
      <w:r w:rsidRPr="00DF78BF">
        <w:rPr>
          <w:b/>
          <w:bCs/>
        </w:rPr>
        <w:t xml:space="preserve"> </w:t>
      </w:r>
      <w:r w:rsidRPr="00DF78BF">
        <w:rPr>
          <w:rFonts w:ascii="TimesNewRomanPSMT" w:hAnsi="TimesNewRomanPSMT"/>
          <w:b/>
          <w:bCs/>
          <w:color w:val="050707"/>
        </w:rPr>
        <w:t xml:space="preserve">ISBN-number: </w:t>
      </w:r>
      <w:r w:rsidRPr="00DF78BF">
        <w:rPr>
          <w:rFonts w:ascii="TimesNewRomanPSMT" w:hAnsi="TimesNewRomanPSMT"/>
          <w:b/>
          <w:bCs/>
          <w:color w:val="050707"/>
          <w:shd w:val="clear" w:color="auto" w:fill="FFFFFF"/>
        </w:rPr>
        <w:t>978-90-5989-958-2</w:t>
      </w:r>
      <w:r>
        <w:rPr>
          <w:rFonts w:ascii="TimesNewRomanPSMT" w:hAnsi="TimesNewRomanPSMT"/>
          <w:b/>
          <w:bCs/>
          <w:color w:val="050707"/>
          <w:shd w:val="clear" w:color="auto" w:fill="FFFFFF"/>
        </w:rPr>
        <w:t xml:space="preserve">. </w:t>
      </w:r>
      <w:r>
        <w:rPr>
          <w:color w:val="050707"/>
          <w:lang w:eastAsia="en-GB"/>
        </w:rPr>
        <w:t>The study investigated t</w:t>
      </w:r>
      <w:r w:rsidRPr="00DF78BF">
        <w:rPr>
          <w:color w:val="050707"/>
          <w:lang w:eastAsia="en-GB"/>
        </w:rPr>
        <w:t xml:space="preserve">he drought coping strategies and mechanisms of </w:t>
      </w:r>
      <w:r>
        <w:rPr>
          <w:color w:val="050707"/>
          <w:lang w:eastAsia="en-GB"/>
        </w:rPr>
        <w:t>the</w:t>
      </w:r>
      <w:r w:rsidRPr="00DF78BF">
        <w:rPr>
          <w:color w:val="050707"/>
          <w:lang w:eastAsia="en-GB"/>
        </w:rPr>
        <w:t xml:space="preserve"> African pioneer semi-deciduous tree species </w:t>
      </w:r>
      <w:r w:rsidRPr="00DF78BF">
        <w:rPr>
          <w:i/>
          <w:iCs/>
          <w:color w:val="050707"/>
          <w:lang w:eastAsia="en-GB"/>
        </w:rPr>
        <w:t>Maesopsis eminii</w:t>
      </w:r>
      <w:r>
        <w:rPr>
          <w:i/>
          <w:iCs/>
          <w:color w:val="050707"/>
          <w:lang w:eastAsia="en-GB"/>
        </w:rPr>
        <w:t xml:space="preserve">. </w:t>
      </w:r>
      <w:r w:rsidR="00D612F9">
        <w:rPr>
          <w:rFonts w:ascii="TimesNewRomanPSMT" w:hAnsi="TimesNewRomanPSMT"/>
          <w:color w:val="050707"/>
        </w:rPr>
        <w:t>The species</w:t>
      </w:r>
      <w:r w:rsidR="00D612F9" w:rsidRPr="008B5F0F">
        <w:rPr>
          <w:rFonts w:ascii="TimesNewRomanPSMT" w:hAnsi="TimesNewRomanPSMT"/>
          <w:color w:val="050707"/>
        </w:rPr>
        <w:t xml:space="preserve"> was chosen because of its economic and ecological importance in tropical Africa. It is used as timber, for crop shade</w:t>
      </w:r>
      <w:r w:rsidR="00D612F9">
        <w:rPr>
          <w:rFonts w:ascii="TimesNewRomanPSMT" w:hAnsi="TimesNewRomanPSMT"/>
          <w:color w:val="050707"/>
        </w:rPr>
        <w:t xml:space="preserve">, </w:t>
      </w:r>
      <w:r w:rsidR="00D612F9" w:rsidRPr="008B5F0F">
        <w:rPr>
          <w:rFonts w:ascii="TimesNewRomanPSMT" w:hAnsi="TimesNewRomanPSMT"/>
          <w:color w:val="050707"/>
        </w:rPr>
        <w:t>to limit erosion, as medicine, as medium for mushroom culture</w:t>
      </w:r>
      <w:r w:rsidR="00D612F9">
        <w:rPr>
          <w:rFonts w:ascii="TimesNewRomanPSMT" w:hAnsi="TimesNewRomanPSMT"/>
          <w:color w:val="050707"/>
        </w:rPr>
        <w:t xml:space="preserve">, </w:t>
      </w:r>
      <w:r w:rsidR="00D612F9" w:rsidRPr="008B5F0F">
        <w:rPr>
          <w:rFonts w:ascii="TimesNewRomanPSMT" w:hAnsi="TimesNewRomanPSMT"/>
          <w:color w:val="050707"/>
        </w:rPr>
        <w:t>as source of edible oil, as a road-side ornament and as firewood and fodder</w:t>
      </w:r>
      <w:r w:rsidR="00A7596F">
        <w:rPr>
          <w:rFonts w:ascii="TimesNewRomanPSMT" w:hAnsi="TimesNewRomanPSMT"/>
          <w:color w:val="050707"/>
        </w:rPr>
        <w:t xml:space="preserve"> and in general for enrichment planting</w:t>
      </w:r>
      <w:r w:rsidR="00D612F9">
        <w:rPr>
          <w:rFonts w:ascii="TimesNewRomanPSMT" w:hAnsi="TimesNewRomanPSMT"/>
          <w:color w:val="050707"/>
        </w:rPr>
        <w:t xml:space="preserve">.  Deciduous, light demanding species are considered to be able to better cope with forecasts of increasing drought stress in tropical Africa with climate change. </w:t>
      </w:r>
    </w:p>
    <w:p w14:paraId="77959756" w14:textId="02DF6E9F" w:rsidR="00BE6223" w:rsidRPr="00BE6223" w:rsidRDefault="00BE6223" w:rsidP="00BE6223">
      <w:pPr>
        <w:pStyle w:val="ListParagraph"/>
        <w:numPr>
          <w:ilvl w:val="0"/>
          <w:numId w:val="13"/>
        </w:numPr>
        <w:rPr>
          <w:rFonts w:cstheme="minorHAnsi"/>
          <w:color w:val="111111"/>
        </w:rPr>
      </w:pPr>
      <w:r w:rsidRPr="00BE6223">
        <w:rPr>
          <w:rFonts w:cstheme="minorHAnsi"/>
          <w:b/>
          <w:bCs/>
          <w:color w:val="111111"/>
        </w:rPr>
        <w:t>Epila, Jackie, et al. (2017) The ecology of Maesopsis eminii Engl. in tropical Africa</w:t>
      </w:r>
      <w:r w:rsidRPr="00BE6223">
        <w:rPr>
          <w:rFonts w:cstheme="minorHAnsi"/>
          <w:color w:val="111111"/>
        </w:rPr>
        <w:t xml:space="preserve"> </w:t>
      </w:r>
      <w:r w:rsidRPr="00044907">
        <w:rPr>
          <w:rFonts w:cstheme="minorHAnsi"/>
          <w:b/>
          <w:bCs/>
          <w:color w:val="000000" w:themeColor="text1"/>
          <w:u w:val="single"/>
        </w:rPr>
        <w:t>African Journal of Ecology</w:t>
      </w:r>
      <w:r w:rsidRPr="00044907">
        <w:rPr>
          <w:rFonts w:cstheme="minorHAnsi"/>
          <w:b/>
          <w:bCs/>
          <w:color w:val="000000" w:themeColor="text1"/>
        </w:rPr>
        <w:t> DOI: 10.1111/aje.12408</w:t>
      </w:r>
      <w:r>
        <w:rPr>
          <w:rFonts w:cstheme="minorHAnsi"/>
          <w:color w:val="000000" w:themeColor="text1"/>
        </w:rPr>
        <w:t xml:space="preserve">. Comments on the </w:t>
      </w:r>
      <w:r w:rsidRPr="00F14849">
        <w:rPr>
          <w:rFonts w:eastAsia="Times New Roman" w:cstheme="minorHAnsi"/>
          <w:color w:val="000000"/>
          <w:lang w:eastAsia="en-GB"/>
        </w:rPr>
        <w:t>functional traits allowing</w:t>
      </w:r>
      <w:r w:rsidRPr="00BE6223">
        <w:rPr>
          <w:rFonts w:eastAsia="Times New Roman" w:cstheme="minorHAnsi"/>
          <w:color w:val="000000"/>
          <w:lang w:eastAsia="en-GB"/>
        </w:rPr>
        <w:t xml:space="preserve"> </w:t>
      </w:r>
      <w:r w:rsidRPr="00F14849">
        <w:rPr>
          <w:rFonts w:eastAsia="Times New Roman" w:cstheme="minorHAnsi"/>
          <w:color w:val="000000"/>
          <w:lang w:eastAsia="en-GB"/>
        </w:rPr>
        <w:t>M. eminii</w:t>
      </w:r>
      <w:r w:rsidRPr="00BE6223">
        <w:rPr>
          <w:rFonts w:eastAsia="Times New Roman" w:cstheme="minorHAnsi"/>
          <w:color w:val="000000"/>
          <w:lang w:eastAsia="en-GB"/>
        </w:rPr>
        <w:t xml:space="preserve"> </w:t>
      </w:r>
      <w:r w:rsidRPr="00F14849">
        <w:rPr>
          <w:rFonts w:eastAsia="Times New Roman" w:cstheme="minorHAnsi"/>
          <w:color w:val="000000"/>
          <w:lang w:eastAsia="en-GB"/>
        </w:rPr>
        <w:t>to grow under a wide</w:t>
      </w:r>
      <w:r w:rsidRPr="00BE6223">
        <w:rPr>
          <w:rFonts w:eastAsia="Times New Roman" w:cstheme="minorHAnsi"/>
          <w:color w:val="000000"/>
          <w:lang w:eastAsia="en-GB"/>
        </w:rPr>
        <w:t xml:space="preserve"> </w:t>
      </w:r>
      <w:r w:rsidRPr="00F14849">
        <w:rPr>
          <w:rFonts w:eastAsia="Times New Roman" w:cstheme="minorHAnsi"/>
          <w:color w:val="000000"/>
          <w:lang w:eastAsia="en-GB"/>
        </w:rPr>
        <w:t>range of site conditions</w:t>
      </w:r>
      <w:r w:rsidRPr="00BE6223">
        <w:rPr>
          <w:rFonts w:eastAsia="Times New Roman" w:cstheme="minorHAnsi"/>
          <w:color w:val="000000"/>
          <w:lang w:eastAsia="en-GB"/>
        </w:rPr>
        <w:t xml:space="preserve">, </w:t>
      </w:r>
      <w:r w:rsidRPr="00F14849">
        <w:rPr>
          <w:rFonts w:eastAsia="Times New Roman" w:cstheme="minorHAnsi"/>
          <w:color w:val="000000"/>
          <w:lang w:eastAsia="en-GB"/>
        </w:rPr>
        <w:t>ha</w:t>
      </w:r>
      <w:r w:rsidRPr="00BE6223">
        <w:rPr>
          <w:rFonts w:eastAsia="Times New Roman" w:cstheme="minorHAnsi"/>
          <w:color w:val="000000"/>
          <w:lang w:eastAsia="en-GB"/>
        </w:rPr>
        <w:t>ving</w:t>
      </w:r>
      <w:r w:rsidRPr="00F14849">
        <w:rPr>
          <w:rFonts w:eastAsia="Times New Roman" w:cstheme="minorHAnsi"/>
          <w:color w:val="000000"/>
          <w:lang w:eastAsia="en-GB"/>
        </w:rPr>
        <w:t xml:space="preserve"> both deep taproots and an intricate mat of lateral roots that</w:t>
      </w:r>
      <w:r w:rsidRPr="00BE6223">
        <w:rPr>
          <w:rFonts w:eastAsia="Times New Roman" w:cstheme="minorHAnsi"/>
          <w:color w:val="000000"/>
          <w:lang w:eastAsia="en-GB"/>
        </w:rPr>
        <w:t xml:space="preserve"> </w:t>
      </w:r>
      <w:r w:rsidRPr="00F14849">
        <w:rPr>
          <w:rFonts w:eastAsia="Times New Roman" w:cstheme="minorHAnsi"/>
          <w:color w:val="000000"/>
          <w:lang w:eastAsia="en-GB"/>
        </w:rPr>
        <w:t>permeate the subsoil, allowing the species to explore</w:t>
      </w:r>
      <w:r w:rsidRPr="00BE6223">
        <w:rPr>
          <w:rFonts w:eastAsia="Times New Roman" w:cstheme="minorHAnsi"/>
          <w:color w:val="000000"/>
          <w:lang w:eastAsia="en-GB"/>
        </w:rPr>
        <w:t xml:space="preserve"> </w:t>
      </w:r>
      <w:r w:rsidRPr="00F14849">
        <w:rPr>
          <w:rFonts w:eastAsia="Times New Roman" w:cstheme="minorHAnsi"/>
          <w:color w:val="000000"/>
          <w:lang w:eastAsia="en-GB"/>
        </w:rPr>
        <w:t>resources (nutrients and water) from both shallow and</w:t>
      </w:r>
      <w:r w:rsidRPr="00BE6223">
        <w:rPr>
          <w:rFonts w:eastAsia="Times New Roman" w:cstheme="minorHAnsi"/>
          <w:color w:val="000000"/>
          <w:lang w:eastAsia="en-GB"/>
        </w:rPr>
        <w:t xml:space="preserve"> </w:t>
      </w:r>
      <w:r w:rsidRPr="00F14849">
        <w:rPr>
          <w:rFonts w:eastAsia="Times New Roman" w:cstheme="minorHAnsi"/>
          <w:color w:val="000000"/>
          <w:lang w:eastAsia="en-GB"/>
        </w:rPr>
        <w:t>deep soil layers supporting its fast-growing and competitive</w:t>
      </w:r>
      <w:r w:rsidRPr="00BE6223">
        <w:rPr>
          <w:rFonts w:eastAsia="Times New Roman" w:cstheme="minorHAnsi"/>
          <w:color w:val="000000"/>
          <w:lang w:eastAsia="en-GB"/>
        </w:rPr>
        <w:t xml:space="preserve"> </w:t>
      </w:r>
      <w:r w:rsidRPr="00F14849">
        <w:rPr>
          <w:rFonts w:eastAsia="Times New Roman" w:cstheme="minorHAnsi"/>
          <w:color w:val="000000"/>
          <w:lang w:eastAsia="en-GB"/>
        </w:rPr>
        <w:t>habit.</w:t>
      </w:r>
    </w:p>
    <w:p w14:paraId="6CC2D4A3" w14:textId="7E0F2F00" w:rsidR="0041686F" w:rsidRPr="0041686F" w:rsidRDefault="00C6616C" w:rsidP="0041686F">
      <w:pPr>
        <w:pStyle w:val="ListParagraph"/>
        <w:numPr>
          <w:ilvl w:val="0"/>
          <w:numId w:val="13"/>
        </w:numPr>
        <w:spacing w:before="100" w:beforeAutospacing="1" w:after="100" w:afterAutospacing="1"/>
        <w:jc w:val="both"/>
        <w:rPr>
          <w:rFonts w:eastAsia="Times New Roman" w:cstheme="minorHAnsi"/>
          <w:lang w:eastAsia="en-GB"/>
        </w:rPr>
      </w:pPr>
      <w:r w:rsidRPr="00BE64E1">
        <w:rPr>
          <w:rFonts w:eastAsia="Times New Roman" w:cstheme="minorHAnsi"/>
          <w:b/>
          <w:bCs/>
          <w:lang w:eastAsia="en-GB"/>
        </w:rPr>
        <w:t xml:space="preserve">Telli-Nelson, et al. (2008). Tree growth and management in Ugandan agroforestry systems: effects of root pruning on tree growth and crop yield. </w:t>
      </w:r>
      <w:r w:rsidRPr="004C2697">
        <w:rPr>
          <w:rFonts w:eastAsia="Times New Roman" w:cstheme="minorHAnsi"/>
          <w:u w:val="single"/>
          <w:lang w:eastAsia="en-GB"/>
        </w:rPr>
        <w:t>Tree Physiology</w:t>
      </w:r>
      <w:r w:rsidRPr="00BE64E1">
        <w:rPr>
          <w:rFonts w:eastAsia="Times New Roman" w:cstheme="minorHAnsi"/>
          <w:b/>
          <w:bCs/>
          <w:i/>
          <w:iCs/>
          <w:lang w:eastAsia="en-GB"/>
        </w:rPr>
        <w:t>,</w:t>
      </w:r>
      <w:r w:rsidRPr="00BE64E1">
        <w:rPr>
          <w:rFonts w:eastAsia="Times New Roman" w:cstheme="minorHAnsi"/>
          <w:lang w:eastAsia="en-GB"/>
        </w:rPr>
        <w:t xml:space="preserve"> v.28, Issue 2, Feb.2008. Pp 233-242.  </w:t>
      </w:r>
      <w:hyperlink r:id="rId13" w:history="1">
        <w:r w:rsidRPr="00BE64E1">
          <w:rPr>
            <w:rStyle w:val="Hyperlink"/>
            <w:rFonts w:eastAsia="Times New Roman" w:cstheme="minorHAnsi"/>
            <w:lang w:eastAsia="en-GB"/>
          </w:rPr>
          <w:t>https://doi.org/10.1093/treephys/28.2.233</w:t>
        </w:r>
      </w:hyperlink>
      <w:r w:rsidRPr="00BE64E1">
        <w:rPr>
          <w:rFonts w:eastAsia="Times New Roman" w:cstheme="minorHAnsi"/>
          <w:lang w:eastAsia="en-GB"/>
        </w:rPr>
        <w:t xml:space="preserve">  (IDE comment: useful data on root pruning of </w:t>
      </w:r>
      <w:r w:rsidRPr="00BE64E1">
        <w:rPr>
          <w:rFonts w:eastAsia="Times New Roman" w:cstheme="minorHAnsi"/>
          <w:i/>
          <w:iCs/>
          <w:lang w:eastAsia="en-GB"/>
        </w:rPr>
        <w:t>M.eminii</w:t>
      </w:r>
      <w:r w:rsidRPr="00BE64E1">
        <w:rPr>
          <w:rFonts w:eastAsia="Times New Roman" w:cstheme="minorHAnsi"/>
          <w:lang w:eastAsia="en-GB"/>
        </w:rPr>
        <w:t xml:space="preserve"> to assist under-canopy crops, with little effect on overall growth of tree)</w:t>
      </w:r>
      <w:r w:rsidR="0041686F">
        <w:rPr>
          <w:rFonts w:eastAsia="Times New Roman" w:cstheme="minorHAnsi"/>
          <w:lang w:eastAsia="en-GB"/>
        </w:rPr>
        <w:t>.</w:t>
      </w:r>
    </w:p>
    <w:p w14:paraId="6022877C" w14:textId="05D744F0" w:rsidR="00BE64E1" w:rsidRPr="007773F7" w:rsidRDefault="00774E47" w:rsidP="00705CF2">
      <w:pPr>
        <w:pStyle w:val="ListParagraph"/>
        <w:numPr>
          <w:ilvl w:val="0"/>
          <w:numId w:val="13"/>
        </w:numPr>
        <w:jc w:val="both"/>
        <w:rPr>
          <w:rFonts w:eastAsia="Times New Roman" w:cstheme="minorHAnsi"/>
          <w:lang w:eastAsia="en-GB"/>
        </w:rPr>
      </w:pPr>
      <w:r w:rsidRPr="00BE64E1">
        <w:rPr>
          <w:rFonts w:eastAsia="Times New Roman" w:cstheme="minorHAnsi"/>
          <w:b/>
          <w:bCs/>
          <w:color w:val="333333"/>
          <w:shd w:val="clear" w:color="auto" w:fill="FCFCFC"/>
          <w:lang w:eastAsia="en-GB"/>
        </w:rPr>
        <w:t>Okorio, J., </w:t>
      </w:r>
      <w:r w:rsidRPr="00BE64E1">
        <w:rPr>
          <w:rFonts w:eastAsia="Times New Roman" w:cstheme="minorHAnsi"/>
          <w:b/>
          <w:bCs/>
          <w:color w:val="333333"/>
          <w:lang w:eastAsia="en-GB"/>
        </w:rPr>
        <w:t>et al</w:t>
      </w:r>
      <w:r w:rsidRPr="00BE64E1">
        <w:rPr>
          <w:rFonts w:eastAsia="Times New Roman" w:cstheme="minorHAnsi"/>
          <w:b/>
          <w:bCs/>
          <w:i/>
          <w:iCs/>
          <w:color w:val="333333"/>
          <w:lang w:eastAsia="en-GB"/>
        </w:rPr>
        <w:t>.</w:t>
      </w:r>
      <w:r w:rsidRPr="00BE64E1">
        <w:rPr>
          <w:rFonts w:eastAsia="Times New Roman" w:cstheme="minorHAnsi"/>
          <w:b/>
          <w:bCs/>
          <w:color w:val="333333"/>
          <w:shd w:val="clear" w:color="auto" w:fill="FCFCFC"/>
          <w:lang w:eastAsia="en-GB"/>
        </w:rPr>
        <w:t> Comparative performance of seventeen upperstorey tree species associated with crops in the highlands of Uganda. </w:t>
      </w:r>
      <w:r w:rsidRPr="004C2697">
        <w:rPr>
          <w:rFonts w:eastAsia="Times New Roman" w:cstheme="minorHAnsi"/>
          <w:color w:val="333333"/>
          <w:u w:val="single"/>
          <w:lang w:eastAsia="en-GB"/>
        </w:rPr>
        <w:t xml:space="preserve">Agroforest </w:t>
      </w:r>
      <w:proofErr w:type="spellStart"/>
      <w:r w:rsidRPr="004C2697">
        <w:rPr>
          <w:rFonts w:eastAsia="Times New Roman" w:cstheme="minorHAnsi"/>
          <w:color w:val="333333"/>
          <w:u w:val="single"/>
          <w:lang w:eastAsia="en-GB"/>
        </w:rPr>
        <w:t>Syst</w:t>
      </w:r>
      <w:proofErr w:type="spellEnd"/>
      <w:r w:rsidRPr="004C2697">
        <w:rPr>
          <w:rFonts w:eastAsia="Times New Roman" w:cstheme="minorHAnsi"/>
          <w:color w:val="333333"/>
          <w:u w:val="single"/>
          <w:shd w:val="clear" w:color="auto" w:fill="FCFCFC"/>
          <w:lang w:eastAsia="en-GB"/>
        </w:rPr>
        <w:t> </w:t>
      </w:r>
      <w:r w:rsidRPr="004C2697">
        <w:rPr>
          <w:rFonts w:eastAsia="Times New Roman" w:cstheme="minorHAnsi"/>
          <w:color w:val="333333"/>
          <w:u w:val="single"/>
          <w:lang w:eastAsia="en-GB"/>
        </w:rPr>
        <w:t>26</w:t>
      </w:r>
      <w:r w:rsidRPr="00BE64E1">
        <w:rPr>
          <w:rFonts w:eastAsia="Times New Roman" w:cstheme="minorHAnsi"/>
          <w:b/>
          <w:bCs/>
          <w:color w:val="333333"/>
          <w:lang w:eastAsia="en-GB"/>
        </w:rPr>
        <w:t>, </w:t>
      </w:r>
      <w:r w:rsidRPr="00BE64E1">
        <w:rPr>
          <w:rFonts w:eastAsia="Times New Roman" w:cstheme="minorHAnsi"/>
          <w:color w:val="333333"/>
          <w:shd w:val="clear" w:color="auto" w:fill="FCFCFC"/>
          <w:lang w:eastAsia="en-GB"/>
        </w:rPr>
        <w:t xml:space="preserve">185–203 (1994). </w:t>
      </w:r>
      <w:hyperlink r:id="rId14" w:history="1">
        <w:r w:rsidR="00BE64E1" w:rsidRPr="00BE64E1">
          <w:rPr>
            <w:rStyle w:val="Hyperlink"/>
            <w:rFonts w:eastAsia="Times New Roman" w:cstheme="minorHAnsi"/>
            <w:shd w:val="clear" w:color="auto" w:fill="FCFCFC"/>
            <w:lang w:eastAsia="en-GB"/>
          </w:rPr>
          <w:t>https://doi.org/10.1007/BF00711210</w:t>
        </w:r>
      </w:hyperlink>
      <w:r w:rsidR="00BE64E1" w:rsidRPr="00BE64E1">
        <w:rPr>
          <w:rFonts w:eastAsia="Times New Roman" w:cstheme="minorHAnsi"/>
          <w:color w:val="333333"/>
          <w:shd w:val="clear" w:color="auto" w:fill="FCFCFC"/>
          <w:lang w:eastAsia="en-GB"/>
        </w:rPr>
        <w:t xml:space="preserve">  (IDE comment: Trials were established at three sites in Uganda to test the suitability of multipurpose trees (MPTs) as upperstorey in crop lands to provide poles, small timber and fuelwood. M.eminii (with average growth rates of 1.8-2.7m annually) showed an average of 60% decline in understory crop yields without root pruning. </w:t>
      </w:r>
      <w:r w:rsidR="00AA57DF">
        <w:rPr>
          <w:rFonts w:eastAsia="Times New Roman" w:cstheme="minorHAnsi"/>
          <w:color w:val="333333"/>
          <w:shd w:val="clear" w:color="auto" w:fill="FCFCFC"/>
          <w:lang w:eastAsia="en-GB"/>
        </w:rPr>
        <w:t>But with root pruning crop yields increased by up to 52</w:t>
      </w:r>
      <w:r w:rsidR="0041686F">
        <w:rPr>
          <w:rFonts w:eastAsia="Times New Roman" w:cstheme="minorHAnsi"/>
          <w:color w:val="333333"/>
          <w:shd w:val="clear" w:color="auto" w:fill="FCFCFC"/>
          <w:lang w:eastAsia="en-GB"/>
        </w:rPr>
        <w:t>%</w:t>
      </w:r>
      <w:r w:rsidR="00AA57DF">
        <w:rPr>
          <w:rFonts w:eastAsia="Times New Roman" w:cstheme="minorHAnsi"/>
          <w:color w:val="333333"/>
          <w:shd w:val="clear" w:color="auto" w:fill="FCFCFC"/>
          <w:lang w:eastAsia="en-GB"/>
        </w:rPr>
        <w:t xml:space="preserve">. </w:t>
      </w:r>
    </w:p>
    <w:p w14:paraId="2E7C6841" w14:textId="75B860DF" w:rsidR="007773F7" w:rsidRDefault="007773F7" w:rsidP="007773F7">
      <w:pPr>
        <w:pStyle w:val="ListParagraph"/>
        <w:jc w:val="both"/>
        <w:rPr>
          <w:rFonts w:eastAsia="Times New Roman" w:cstheme="minorHAnsi"/>
          <w:b/>
          <w:bCs/>
          <w:color w:val="333333"/>
          <w:shd w:val="clear" w:color="auto" w:fill="FCFCFC"/>
          <w:lang w:eastAsia="en-GB"/>
        </w:rPr>
      </w:pPr>
    </w:p>
    <w:p w14:paraId="3D69545B" w14:textId="04323033" w:rsidR="007773F7" w:rsidRPr="00416D04" w:rsidRDefault="007773F7" w:rsidP="007773F7">
      <w:pPr>
        <w:pStyle w:val="ListParagraph"/>
        <w:jc w:val="both"/>
        <w:rPr>
          <w:rFonts w:eastAsia="Times New Roman" w:cstheme="minorHAnsi"/>
          <w:sz w:val="28"/>
          <w:szCs w:val="28"/>
          <w:u w:val="single"/>
          <w:lang w:eastAsia="en-GB"/>
        </w:rPr>
      </w:pPr>
      <w:r w:rsidRPr="00416D04">
        <w:rPr>
          <w:rFonts w:eastAsia="Times New Roman" w:cstheme="minorHAnsi"/>
          <w:b/>
          <w:bCs/>
          <w:color w:val="333333"/>
          <w:sz w:val="28"/>
          <w:szCs w:val="28"/>
          <w:u w:val="single"/>
          <w:shd w:val="clear" w:color="auto" w:fill="FCFCFC"/>
          <w:lang w:eastAsia="en-GB"/>
        </w:rPr>
        <w:t xml:space="preserve">B2: </w:t>
      </w:r>
      <w:r w:rsidR="00416D04" w:rsidRPr="00416D04">
        <w:rPr>
          <w:rFonts w:eastAsia="Times New Roman" w:cstheme="minorHAnsi"/>
          <w:b/>
          <w:bCs/>
          <w:i/>
          <w:iCs/>
          <w:color w:val="333333"/>
          <w:sz w:val="28"/>
          <w:szCs w:val="28"/>
          <w:u w:val="single"/>
          <w:shd w:val="clear" w:color="auto" w:fill="FCFCFC"/>
          <w:lang w:eastAsia="en-GB"/>
        </w:rPr>
        <w:t>Terminalia superba</w:t>
      </w:r>
      <w:r w:rsidR="00416D04" w:rsidRPr="00416D04">
        <w:rPr>
          <w:rFonts w:eastAsia="Times New Roman" w:cstheme="minorHAnsi"/>
          <w:b/>
          <w:bCs/>
          <w:color w:val="333333"/>
          <w:sz w:val="28"/>
          <w:szCs w:val="28"/>
          <w:u w:val="single"/>
          <w:shd w:val="clear" w:color="auto" w:fill="FCFCFC"/>
          <w:lang w:eastAsia="en-GB"/>
        </w:rPr>
        <w:t xml:space="preserve"> (Limba).</w:t>
      </w:r>
    </w:p>
    <w:p w14:paraId="0F991729" w14:textId="1BFA8992" w:rsidR="00416D04" w:rsidRDefault="0041686F" w:rsidP="00416D04">
      <w:pPr>
        <w:pStyle w:val="ListParagraph"/>
        <w:numPr>
          <w:ilvl w:val="1"/>
          <w:numId w:val="31"/>
        </w:numPr>
        <w:spacing w:before="100" w:beforeAutospacing="1" w:after="100" w:afterAutospacing="1"/>
        <w:ind w:left="709" w:hanging="283"/>
        <w:jc w:val="both"/>
        <w:rPr>
          <w:bCs/>
        </w:rPr>
      </w:pPr>
      <w:r w:rsidRPr="00416D04">
        <w:rPr>
          <w:b/>
          <w:bCs/>
        </w:rPr>
        <w:t>Maitre,</w:t>
      </w:r>
      <w:r w:rsidR="00432D9A">
        <w:rPr>
          <w:b/>
          <w:bCs/>
        </w:rPr>
        <w:t xml:space="preserve"> </w:t>
      </w:r>
      <w:r w:rsidRPr="00416D04">
        <w:rPr>
          <w:b/>
          <w:bCs/>
        </w:rPr>
        <w:t xml:space="preserve">Henri-Felix and Don Wijewardana. 2004. </w:t>
      </w:r>
      <w:r w:rsidRPr="00416D04">
        <w:rPr>
          <w:b/>
          <w:bCs/>
          <w:i/>
        </w:rPr>
        <w:t xml:space="preserve">Conservation and Provenance Plantings and Integrated Pest Management to Sustain Iroko Production in West </w:t>
      </w:r>
      <w:r w:rsidRPr="00416D04">
        <w:rPr>
          <w:b/>
          <w:bCs/>
          <w:i/>
        </w:rPr>
        <w:lastRenderedPageBreak/>
        <w:t>Africa</w:t>
      </w:r>
      <w:r w:rsidRPr="00416D04">
        <w:rPr>
          <w:b/>
          <w:bCs/>
        </w:rPr>
        <w:t xml:space="preserve"> (Ghana). </w:t>
      </w:r>
      <w:r w:rsidRPr="00416D04">
        <w:rPr>
          <w:b/>
          <w:bCs/>
          <w:u w:val="single"/>
        </w:rPr>
        <w:t>ITTO PROJECT PD 3/95 Rev.2 (F</w:t>
      </w:r>
      <w:r w:rsidRPr="00416D04">
        <w:rPr>
          <w:u w:val="single"/>
        </w:rPr>
        <w:t>)</w:t>
      </w:r>
      <w:r w:rsidRPr="00416D04">
        <w:rPr>
          <w:b/>
          <w:bCs/>
        </w:rPr>
        <w:t>.</w:t>
      </w:r>
      <w:r w:rsidRPr="00416D04">
        <w:rPr>
          <w:bCs/>
        </w:rPr>
        <w:t xml:space="preserve">  (</w:t>
      </w:r>
      <w:r w:rsidRPr="00416D04">
        <w:rPr>
          <w:bCs/>
          <w:u w:val="single"/>
        </w:rPr>
        <w:t>Note</w:t>
      </w:r>
      <w:r w:rsidRPr="00416D04">
        <w:rPr>
          <w:bCs/>
        </w:rPr>
        <w:t xml:space="preserve">: useful information on difficulties in establishing </w:t>
      </w:r>
      <w:r w:rsidRPr="00416D04">
        <w:rPr>
          <w:bCs/>
          <w:i/>
        </w:rPr>
        <w:t>Milicia</w:t>
      </w:r>
      <w:r w:rsidRPr="00416D04">
        <w:rPr>
          <w:bCs/>
        </w:rPr>
        <w:t xml:space="preserve"> plantations due to control of </w:t>
      </w:r>
      <w:r w:rsidRPr="00416D04">
        <w:rPr>
          <w:bCs/>
          <w:i/>
        </w:rPr>
        <w:t>Phytolyma lata</w:t>
      </w:r>
      <w:r w:rsidRPr="00416D04">
        <w:rPr>
          <w:bCs/>
        </w:rPr>
        <w:t xml:space="preserve">, cf. community plantings.  Sapling spacing of 4m x 4m with mix of </w:t>
      </w:r>
      <w:r w:rsidRPr="00416D04">
        <w:rPr>
          <w:bCs/>
          <w:i/>
        </w:rPr>
        <w:t>Terminalia superba</w:t>
      </w:r>
      <w:r w:rsidRPr="00416D04">
        <w:rPr>
          <w:bCs/>
        </w:rPr>
        <w:t xml:space="preserve"> has been found to give good results. </w:t>
      </w:r>
    </w:p>
    <w:p w14:paraId="40BAFBCF" w14:textId="4D45F371" w:rsidR="00FE79C2" w:rsidRPr="00416D04" w:rsidRDefault="00FE79C2" w:rsidP="00416D04">
      <w:pPr>
        <w:pStyle w:val="ListParagraph"/>
        <w:numPr>
          <w:ilvl w:val="1"/>
          <w:numId w:val="31"/>
        </w:numPr>
        <w:spacing w:before="100" w:beforeAutospacing="1" w:after="100" w:afterAutospacing="1"/>
        <w:ind w:left="709" w:hanging="283"/>
        <w:jc w:val="both"/>
        <w:rPr>
          <w:bCs/>
        </w:rPr>
      </w:pPr>
      <w:r w:rsidRPr="00416D04">
        <w:rPr>
          <w:b/>
          <w:bCs/>
          <w:color w:val="111111"/>
        </w:rPr>
        <w:t xml:space="preserve">Bosu, Paul P. </w:t>
      </w:r>
      <w:r w:rsidRPr="00416D04">
        <w:rPr>
          <w:b/>
          <w:bCs/>
          <w:iCs/>
          <w:color w:val="111111"/>
        </w:rPr>
        <w:t>et al.</w:t>
      </w:r>
      <w:r w:rsidRPr="00416D04">
        <w:rPr>
          <w:b/>
          <w:bCs/>
          <w:color w:val="111111"/>
        </w:rPr>
        <w:t xml:space="preserve"> 2006</w:t>
      </w:r>
      <w:r w:rsidRPr="00416D04">
        <w:rPr>
          <w:color w:val="111111"/>
        </w:rPr>
        <w:t xml:space="preserve">. </w:t>
      </w:r>
      <w:r w:rsidRPr="00416D04">
        <w:rPr>
          <w:b/>
          <w:bCs/>
          <w:i/>
          <w:iCs/>
          <w:color w:val="111111"/>
        </w:rPr>
        <w:t>Survival and growth of mixed plantations of Milicia excelsa and Terminalia superba 9 years after planting in Ghana</w:t>
      </w:r>
      <w:r w:rsidRPr="00416D04">
        <w:rPr>
          <w:color w:val="111111"/>
        </w:rPr>
        <w:t xml:space="preserve">. </w:t>
      </w:r>
      <w:r w:rsidRPr="00416D04">
        <w:rPr>
          <w:color w:val="111111"/>
          <w:u w:val="single"/>
        </w:rPr>
        <w:t>Forest Ecology and Management</w:t>
      </w:r>
      <w:r w:rsidRPr="00416D04">
        <w:rPr>
          <w:color w:val="111111"/>
        </w:rPr>
        <w:t xml:space="preserve"> 233 (2-3): 352-357.  DOI: 10.1016/j.foreco.2006.05.032.  “</w:t>
      </w:r>
      <w:r w:rsidRPr="00416D04">
        <w:rPr>
          <w:rFonts w:eastAsia="Times New Roman"/>
          <w:color w:val="111111"/>
          <w:shd w:val="clear" w:color="auto" w:fill="FFFFFF"/>
        </w:rPr>
        <w:t>Iroko (</w:t>
      </w:r>
      <w:r w:rsidRPr="00416D04">
        <w:rPr>
          <w:rFonts w:eastAsia="Times New Roman"/>
          <w:i/>
          <w:iCs/>
          <w:color w:val="111111"/>
          <w:shd w:val="clear" w:color="auto" w:fill="FFFFFF"/>
        </w:rPr>
        <w:t>Milicia excelsa</w:t>
      </w:r>
      <w:r w:rsidRPr="00416D04">
        <w:rPr>
          <w:rFonts w:eastAsia="Times New Roman"/>
          <w:color w:val="111111"/>
          <w:shd w:val="clear" w:color="auto" w:fill="FFFFFF"/>
        </w:rPr>
        <w:t xml:space="preserve"> and </w:t>
      </w:r>
      <w:r w:rsidRPr="00416D04">
        <w:rPr>
          <w:rFonts w:eastAsia="Times New Roman"/>
          <w:i/>
          <w:iCs/>
          <w:color w:val="111111"/>
          <w:shd w:val="clear" w:color="auto" w:fill="FFFFFF"/>
        </w:rPr>
        <w:t>M. regia</w:t>
      </w:r>
      <w:r w:rsidRPr="00416D04">
        <w:rPr>
          <w:rFonts w:eastAsia="Times New Roman"/>
          <w:color w:val="111111"/>
          <w:shd w:val="clear" w:color="auto" w:fill="FFFFFF"/>
        </w:rPr>
        <w:t xml:space="preserve">) is a valuable hardwood from the humid tropics of Africa and, is currently under threat of extinction because of over-exploitation and poor regeneration. Attempts to establish Milicia plantations in Africa have been hampered by gall-forming psyllids of the genus Phytolyma. This study investigated the impact of Phytolyma on Milicia planted in 11:89, 25:75, 50:50, and 100:0% mixtures (by stem numbers) of </w:t>
      </w:r>
      <w:r w:rsidRPr="00416D04">
        <w:rPr>
          <w:rFonts w:eastAsia="Times New Roman"/>
          <w:i/>
          <w:iCs/>
          <w:color w:val="111111"/>
          <w:shd w:val="clear" w:color="auto" w:fill="FFFFFF"/>
        </w:rPr>
        <w:t>M. excelsa</w:t>
      </w:r>
      <w:r w:rsidRPr="00416D04">
        <w:rPr>
          <w:rFonts w:eastAsia="Times New Roman"/>
          <w:color w:val="111111"/>
          <w:shd w:val="clear" w:color="auto" w:fill="FFFFFF"/>
        </w:rPr>
        <w:t xml:space="preserve"> (high-risk species) and </w:t>
      </w:r>
      <w:r w:rsidRPr="00416D04">
        <w:rPr>
          <w:rFonts w:eastAsia="Times New Roman"/>
          <w:i/>
          <w:iCs/>
          <w:color w:val="111111"/>
          <w:shd w:val="clear" w:color="auto" w:fill="FFFFFF"/>
        </w:rPr>
        <w:t>Terminalia superba</w:t>
      </w:r>
      <w:r w:rsidRPr="00416D04">
        <w:rPr>
          <w:rFonts w:eastAsia="Times New Roman"/>
          <w:color w:val="111111"/>
          <w:shd w:val="clear" w:color="auto" w:fill="FFFFFF"/>
        </w:rPr>
        <w:t xml:space="preserve"> (companion species). At the forest site, </w:t>
      </w:r>
      <w:r w:rsidRPr="00416D04">
        <w:rPr>
          <w:rFonts w:eastAsia="Times New Roman"/>
          <w:i/>
          <w:iCs/>
          <w:color w:val="111111"/>
          <w:shd w:val="clear" w:color="auto" w:fill="FFFFFF"/>
        </w:rPr>
        <w:t>M. excelsa</w:t>
      </w:r>
      <w:r w:rsidRPr="00416D04">
        <w:rPr>
          <w:rFonts w:eastAsia="Times New Roman"/>
          <w:color w:val="111111"/>
          <w:shd w:val="clear" w:color="auto" w:fill="FFFFFF"/>
        </w:rPr>
        <w:t xml:space="preserve"> survival was 10% in the short season plantation and 30% in the long season plantation. Mean diameter and mean height were significantly higher in the long season plantation than in the short season plantation 2.4 cm versus 0.43 cm diameter respectively, and 295 cm versus 74 cm in height. However, neither survival nor growth was influenced by density of Milicia in a plot. Survival of Milicia was even lower (6.3%) at the agricultural site (short season only). Survival and growth of </w:t>
      </w:r>
      <w:r w:rsidRPr="00416D04">
        <w:rPr>
          <w:rFonts w:eastAsia="Times New Roman"/>
          <w:i/>
          <w:iCs/>
          <w:color w:val="111111"/>
          <w:shd w:val="clear" w:color="auto" w:fill="FFFFFF"/>
        </w:rPr>
        <w:t>T. superba</w:t>
      </w:r>
      <w:r w:rsidRPr="00416D04">
        <w:rPr>
          <w:rFonts w:eastAsia="Times New Roman"/>
          <w:color w:val="111111"/>
          <w:shd w:val="clear" w:color="auto" w:fill="FFFFFF"/>
        </w:rPr>
        <w:t xml:space="preserve"> were relatively higher than that of </w:t>
      </w:r>
      <w:r w:rsidRPr="00416D04">
        <w:rPr>
          <w:rFonts w:eastAsia="Times New Roman"/>
          <w:i/>
          <w:iCs/>
          <w:color w:val="111111"/>
          <w:shd w:val="clear" w:color="auto" w:fill="FFFFFF"/>
        </w:rPr>
        <w:t>M. excelsa</w:t>
      </w:r>
      <w:r w:rsidRPr="00416D04">
        <w:rPr>
          <w:rFonts w:eastAsia="Times New Roman"/>
          <w:color w:val="111111"/>
          <w:shd w:val="clear" w:color="auto" w:fill="FFFFFF"/>
        </w:rPr>
        <w:t xml:space="preserve">. The mean overall diameter growth of </w:t>
      </w:r>
      <w:r w:rsidRPr="00416D04">
        <w:rPr>
          <w:rFonts w:eastAsia="Times New Roman"/>
          <w:i/>
          <w:iCs/>
          <w:color w:val="111111"/>
          <w:shd w:val="clear" w:color="auto" w:fill="FFFFFF"/>
        </w:rPr>
        <w:t xml:space="preserve">T. superba </w:t>
      </w:r>
      <w:r w:rsidRPr="00416D04">
        <w:rPr>
          <w:rFonts w:eastAsia="Times New Roman"/>
          <w:color w:val="111111"/>
          <w:shd w:val="clear" w:color="auto" w:fill="FFFFFF"/>
        </w:rPr>
        <w:t xml:space="preserve">was significantly higher at the agricultural site than at the forest site. Shade from </w:t>
      </w:r>
      <w:r w:rsidRPr="00416D04">
        <w:rPr>
          <w:rFonts w:eastAsia="Times New Roman"/>
          <w:i/>
          <w:iCs/>
          <w:color w:val="111111"/>
          <w:shd w:val="clear" w:color="auto" w:fill="FFFFFF"/>
        </w:rPr>
        <w:t>T. superba</w:t>
      </w:r>
      <w:r w:rsidRPr="00416D04">
        <w:rPr>
          <w:rFonts w:eastAsia="Times New Roman"/>
          <w:color w:val="111111"/>
          <w:shd w:val="clear" w:color="auto" w:fill="FFFFFF"/>
        </w:rPr>
        <w:t xml:space="preserve"> appeared to reduce psyllid galls on </w:t>
      </w:r>
      <w:r w:rsidRPr="00416D04">
        <w:rPr>
          <w:rFonts w:eastAsia="Times New Roman"/>
          <w:i/>
          <w:iCs/>
          <w:color w:val="111111"/>
          <w:shd w:val="clear" w:color="auto" w:fill="FFFFFF"/>
        </w:rPr>
        <w:t>M. excelsa</w:t>
      </w:r>
      <w:r w:rsidRPr="00416D04">
        <w:rPr>
          <w:rFonts w:eastAsia="Times New Roman"/>
          <w:color w:val="111111"/>
          <w:shd w:val="clear" w:color="auto" w:fill="FFFFFF"/>
        </w:rPr>
        <w:t xml:space="preserve">, though crop tree growth was slow, with the best mean height attained being 400 cm at 8–9 years in 50:50 mixtures. Continuing experiments will involve thinning and-or pruning </w:t>
      </w:r>
      <w:r w:rsidRPr="00416D04">
        <w:rPr>
          <w:rFonts w:eastAsia="Times New Roman"/>
          <w:i/>
          <w:iCs/>
          <w:color w:val="111111"/>
          <w:shd w:val="clear" w:color="auto" w:fill="FFFFFF"/>
        </w:rPr>
        <w:t>T. superba</w:t>
      </w:r>
      <w:r w:rsidRPr="00416D04">
        <w:rPr>
          <w:rFonts w:eastAsia="Times New Roman"/>
          <w:color w:val="111111"/>
          <w:shd w:val="clear" w:color="auto" w:fill="FFFFFF"/>
        </w:rPr>
        <w:t xml:space="preserve"> so that low levels of galls and reasonably rapid growth of </w:t>
      </w:r>
      <w:r w:rsidRPr="00416D04">
        <w:rPr>
          <w:rFonts w:eastAsia="Times New Roman"/>
          <w:i/>
          <w:iCs/>
          <w:color w:val="111111"/>
          <w:shd w:val="clear" w:color="auto" w:fill="FFFFFF"/>
        </w:rPr>
        <w:t>M. excelsa</w:t>
      </w:r>
      <w:r w:rsidRPr="00416D04">
        <w:rPr>
          <w:rFonts w:eastAsia="Times New Roman"/>
          <w:color w:val="111111"/>
          <w:shd w:val="clear" w:color="auto" w:fill="FFFFFF"/>
        </w:rPr>
        <w:t xml:space="preserve"> will be achieved.  (Note: 4m x 4m spacing proved successful in other studies).  (IDE Comment: </w:t>
      </w:r>
    </w:p>
    <w:p w14:paraId="055AE6BC" w14:textId="15DC43C6" w:rsidR="00FE79C2" w:rsidRPr="0091445C" w:rsidRDefault="00FE79C2" w:rsidP="0091445C">
      <w:pPr>
        <w:pStyle w:val="ListParagraph"/>
        <w:numPr>
          <w:ilvl w:val="0"/>
          <w:numId w:val="14"/>
        </w:numPr>
        <w:autoSpaceDE w:val="0"/>
        <w:autoSpaceDN w:val="0"/>
        <w:adjustRightInd w:val="0"/>
        <w:spacing w:before="100" w:beforeAutospacing="1" w:after="100" w:afterAutospacing="1"/>
        <w:jc w:val="both"/>
        <w:rPr>
          <w:rFonts w:eastAsia="Times New Roman" w:cs="Times New Roman"/>
          <w:bCs/>
        </w:rPr>
      </w:pPr>
      <w:r w:rsidRPr="002709CC">
        <w:rPr>
          <w:rFonts w:eastAsia="Times New Roman" w:cs="Times New Roman"/>
          <w:bCs/>
          <w:u w:val="single"/>
        </w:rPr>
        <w:t>On companion planting</w:t>
      </w:r>
      <w:r w:rsidRPr="002709CC">
        <w:rPr>
          <w:rFonts w:eastAsia="Times New Roman" w:cs="Times New Roman"/>
          <w:bCs/>
        </w:rPr>
        <w:t>.  Given the scientific evidence, together with the local favourable conditions in eastern Uganda, the UNA Eastbourne, has within the Mvule Project for Carbon Capture, the goal of planting</w:t>
      </w:r>
      <w:r>
        <w:rPr>
          <w:rFonts w:eastAsia="Times New Roman" w:cs="Times New Roman"/>
          <w:bCs/>
        </w:rPr>
        <w:t xml:space="preserve"> equal number of </w:t>
      </w:r>
      <w:r w:rsidRPr="002709CC">
        <w:rPr>
          <w:rFonts w:eastAsia="Times New Roman" w:cs="Times New Roman"/>
          <w:bCs/>
        </w:rPr>
        <w:t xml:space="preserve">seedlings </w:t>
      </w:r>
      <w:r>
        <w:rPr>
          <w:rFonts w:eastAsia="Times New Roman" w:cs="Times New Roman"/>
          <w:bCs/>
        </w:rPr>
        <w:t xml:space="preserve">of </w:t>
      </w:r>
      <w:r w:rsidRPr="002709CC">
        <w:rPr>
          <w:rFonts w:eastAsia="Times New Roman" w:cs="Times New Roman"/>
          <w:bCs/>
        </w:rPr>
        <w:t xml:space="preserve">the species </w:t>
      </w:r>
      <w:r w:rsidRPr="002709CC">
        <w:rPr>
          <w:rFonts w:eastAsia="Times New Roman" w:cs="Times New Roman"/>
          <w:bCs/>
          <w:i/>
          <w:iCs/>
        </w:rPr>
        <w:t>Terminalia superba</w:t>
      </w:r>
      <w:r w:rsidRPr="002709CC">
        <w:rPr>
          <w:rFonts w:eastAsia="Times New Roman" w:cs="Times New Roman"/>
          <w:bCs/>
        </w:rPr>
        <w:t xml:space="preserve"> and </w:t>
      </w:r>
      <w:r w:rsidRPr="002709CC">
        <w:rPr>
          <w:rFonts w:eastAsia="Times New Roman" w:cs="Times New Roman"/>
          <w:bCs/>
          <w:i/>
          <w:iCs/>
        </w:rPr>
        <w:t>Maesopsis eminii</w:t>
      </w:r>
      <w:r w:rsidRPr="002709CC">
        <w:rPr>
          <w:rFonts w:eastAsia="Times New Roman" w:cs="Times New Roman"/>
          <w:bCs/>
        </w:rPr>
        <w:t xml:space="preserve">. Both these fast-growing trees grow well with </w:t>
      </w:r>
      <w:r w:rsidRPr="002709CC">
        <w:rPr>
          <w:rFonts w:eastAsia="Times New Roman" w:cs="Times New Roman"/>
          <w:bCs/>
          <w:i/>
          <w:iCs/>
        </w:rPr>
        <w:t>M. excelsa</w:t>
      </w:r>
      <w:r>
        <w:rPr>
          <w:rFonts w:eastAsia="Times New Roman" w:cs="Times New Roman"/>
          <w:bCs/>
        </w:rPr>
        <w:t xml:space="preserve"> and are popular with communities to meet short-term and medium-term fuelwood and timber needs. </w:t>
      </w:r>
    </w:p>
    <w:p w14:paraId="6802AB77" w14:textId="77777777" w:rsidR="00416D04" w:rsidRDefault="00FE79C2" w:rsidP="00416D04">
      <w:pPr>
        <w:pStyle w:val="ListParagraph"/>
        <w:numPr>
          <w:ilvl w:val="0"/>
          <w:numId w:val="14"/>
        </w:numPr>
        <w:autoSpaceDE w:val="0"/>
        <w:autoSpaceDN w:val="0"/>
        <w:adjustRightInd w:val="0"/>
        <w:spacing w:before="100" w:beforeAutospacing="1" w:after="100" w:afterAutospacing="1"/>
        <w:jc w:val="both"/>
        <w:rPr>
          <w:rFonts w:eastAsia="Times New Roman" w:cs="Times New Roman"/>
          <w:bCs/>
        </w:rPr>
      </w:pPr>
      <w:r w:rsidRPr="002709CC">
        <w:rPr>
          <w:rFonts w:eastAsia="Times New Roman" w:cs="Times New Roman"/>
          <w:bCs/>
          <w:u w:val="single"/>
        </w:rPr>
        <w:t xml:space="preserve">On </w:t>
      </w:r>
      <w:r>
        <w:rPr>
          <w:rFonts w:eastAsia="Times New Roman" w:cs="Times New Roman"/>
          <w:bCs/>
          <w:i/>
          <w:iCs/>
          <w:u w:val="single"/>
        </w:rPr>
        <w:t>P</w:t>
      </w:r>
      <w:r w:rsidRPr="002709CC">
        <w:rPr>
          <w:rFonts w:eastAsia="Times New Roman" w:cs="Times New Roman"/>
          <w:bCs/>
          <w:i/>
          <w:iCs/>
          <w:u w:val="single"/>
        </w:rPr>
        <w:t>hytolyma lata</w:t>
      </w:r>
      <w:r w:rsidRPr="002709CC">
        <w:rPr>
          <w:rFonts w:eastAsia="Times New Roman" w:cs="Times New Roman"/>
          <w:bCs/>
          <w:u w:val="single"/>
        </w:rPr>
        <w:t xml:space="preserve"> (gall) infestations</w:t>
      </w:r>
      <w:r w:rsidRPr="002709CC">
        <w:rPr>
          <w:rFonts w:eastAsia="Times New Roman" w:cs="Times New Roman"/>
          <w:bCs/>
        </w:rPr>
        <w:t xml:space="preserve">. Ian Elgie’s (IDE) field observations in Sironko district Uganda November 2019, </w:t>
      </w:r>
      <w:r>
        <w:rPr>
          <w:rFonts w:eastAsia="Times New Roman" w:cs="Times New Roman"/>
          <w:bCs/>
        </w:rPr>
        <w:t xml:space="preserve">support the view that although not a cause of significant mortality, infection can reduce main stem height. </w:t>
      </w:r>
      <w:r w:rsidRPr="002709CC">
        <w:rPr>
          <w:rFonts w:eastAsia="Times New Roman" w:cs="Times New Roman"/>
          <w:bCs/>
        </w:rPr>
        <w:t xml:space="preserve">Evidence (also supported by the NFA Mbale) suggests that infected seedlings will suffer slower growth rates and changes in stem morphology but can recover within a few years (sample: 4 adjacent Mvule which after 7 years the only gall infected Mvule was 47% shorter than fastest growing Mvule).  It can be further noted that historically </w:t>
      </w:r>
      <w:r>
        <w:rPr>
          <w:rFonts w:eastAsia="Times New Roman" w:cs="Times New Roman"/>
          <w:bCs/>
          <w:i/>
          <w:iCs/>
        </w:rPr>
        <w:t>P</w:t>
      </w:r>
      <w:r w:rsidRPr="002709CC">
        <w:rPr>
          <w:rFonts w:eastAsia="Times New Roman" w:cs="Times New Roman"/>
          <w:bCs/>
          <w:i/>
          <w:iCs/>
        </w:rPr>
        <w:t>hytolyma lata</w:t>
      </w:r>
      <w:r w:rsidRPr="002709CC">
        <w:rPr>
          <w:rFonts w:eastAsia="Times New Roman" w:cs="Times New Roman"/>
          <w:bCs/>
        </w:rPr>
        <w:t xml:space="preserve"> has been identified as a continuing problem for </w:t>
      </w:r>
      <w:r w:rsidRPr="002709CC">
        <w:rPr>
          <w:rFonts w:eastAsia="Times New Roman" w:cs="Times New Roman"/>
          <w:bCs/>
          <w:i/>
          <w:iCs/>
        </w:rPr>
        <w:t>M.excelsa</w:t>
      </w:r>
      <w:r w:rsidRPr="002709CC">
        <w:rPr>
          <w:rFonts w:eastAsia="Times New Roman" w:cs="Times New Roman"/>
          <w:bCs/>
        </w:rPr>
        <w:t xml:space="preserve"> commercial plantings throughout tropical Africa.  IDE suggests that the large merchantable stem from natural forests which are not so typical in deforested areas, where shorter stem size to bifurcation point, is due to the relative absence of gall fly in these closed canopy forests.</w:t>
      </w:r>
    </w:p>
    <w:p w14:paraId="6CE29618" w14:textId="180F2712" w:rsidR="00416D04" w:rsidRPr="00416D04" w:rsidRDefault="00412494" w:rsidP="00416D04">
      <w:pPr>
        <w:pStyle w:val="ListParagraph"/>
        <w:numPr>
          <w:ilvl w:val="1"/>
          <w:numId w:val="31"/>
        </w:numPr>
        <w:autoSpaceDE w:val="0"/>
        <w:autoSpaceDN w:val="0"/>
        <w:adjustRightInd w:val="0"/>
        <w:spacing w:before="100" w:beforeAutospacing="1" w:after="100" w:afterAutospacing="1"/>
        <w:ind w:left="1134" w:hanging="567"/>
        <w:jc w:val="both"/>
        <w:rPr>
          <w:rFonts w:eastAsia="Times New Roman" w:cs="Times New Roman"/>
          <w:bCs/>
        </w:rPr>
      </w:pPr>
      <w:r w:rsidRPr="00416D04">
        <w:rPr>
          <w:b/>
          <w:bCs/>
        </w:rPr>
        <w:t>De Ridder, Maaike et al. (2010)</w:t>
      </w:r>
      <w:r>
        <w:t xml:space="preserve"> </w:t>
      </w:r>
      <w:r w:rsidRPr="00416D04">
        <w:rPr>
          <w:b/>
          <w:bCs/>
          <w:color w:val="19191E"/>
        </w:rPr>
        <w:t xml:space="preserve">The potential of plantations of </w:t>
      </w:r>
      <w:r w:rsidRPr="00416D04">
        <w:rPr>
          <w:b/>
          <w:bCs/>
          <w:i/>
          <w:iCs/>
          <w:color w:val="19191E"/>
        </w:rPr>
        <w:t xml:space="preserve">Terminalia superba </w:t>
      </w:r>
      <w:r w:rsidRPr="00416D04">
        <w:rPr>
          <w:b/>
          <w:bCs/>
          <w:color w:val="19191E"/>
        </w:rPr>
        <w:t xml:space="preserve">Engl. </w:t>
      </w:r>
      <w:r w:rsidRPr="00416D04">
        <w:rPr>
          <w:color w:val="19191E"/>
        </w:rPr>
        <w:t xml:space="preserve">&amp; </w:t>
      </w:r>
      <w:r w:rsidRPr="00416D04">
        <w:rPr>
          <w:b/>
          <w:bCs/>
          <w:color w:val="19191E"/>
        </w:rPr>
        <w:t>Diels for wood and biomass production (Mayombe Forest, Democratic Republic of Congo</w:t>
      </w:r>
      <w:r w:rsidRPr="00416D04">
        <w:rPr>
          <w:rFonts w:ascii="Times" w:hAnsi="Times"/>
          <w:b/>
          <w:bCs/>
          <w:color w:val="19191E"/>
          <w:sz w:val="34"/>
          <w:szCs w:val="34"/>
        </w:rPr>
        <w:t xml:space="preserve">. </w:t>
      </w:r>
      <w:r>
        <w:t>Ann.For.Sc.67, 501. DOI: 10.1051/forest/2010003.  Main survey was of limba (</w:t>
      </w:r>
      <w:r w:rsidRPr="00416D04">
        <w:rPr>
          <w:i/>
          <w:iCs/>
        </w:rPr>
        <w:t>T.superba</w:t>
      </w:r>
      <w:r>
        <w:t xml:space="preserve">) trees 50-58yrs old.  Buttress height N=2365 trees (72% of buttresses higher than dbh.  Mean DAB (Diameter Above Buttress 202.5cm.) Buttress height increases with age of tree.  23yr old limba reached DAB of c37cm (indicating fast early growth). Bole height (N= 265 trees) mean 25.2m.  Total tree height (N=128 trees) mean 31.5m   Note: mean ratio Bole Height: Total Tree Height = 0.78: 1.0 indicating some 80% of trunk </w:t>
      </w:r>
      <w:r>
        <w:lastRenderedPageBreak/>
        <w:t>has commercial value. Mean AGB 4.1-4.4 tonnes/tree. After Groulez &amp; Wood (1984) 14-18yr had bole heights of 17-21m (growth rate of 0.8 to 1.2m/y</w:t>
      </w:r>
      <w:r w:rsidRPr="00416D04">
        <w:rPr>
          <w:vertAlign w:val="superscript"/>
        </w:rPr>
        <w:t>-1</w:t>
      </w:r>
      <w:r>
        <w:t xml:space="preserve">).  High natural self-pruning capacity giving high % of valuable stem timber.  Small branches &amp; leaves c.3% of total AGB. Note: limba has small crown as percentage of AGB cf. other species, </w:t>
      </w:r>
      <w:r w:rsidR="00416D04">
        <w:t>i.e.,</w:t>
      </w:r>
      <w:r>
        <w:t xml:space="preserve"> about 20% in young trees declining to 9-11% in older limba.</w:t>
      </w:r>
      <w:r w:rsidR="00416D04">
        <w:t xml:space="preserve"> </w:t>
      </w:r>
    </w:p>
    <w:p w14:paraId="638CE870" w14:textId="7D02BB91" w:rsidR="00774E47" w:rsidRPr="00416D04" w:rsidRDefault="00412494" w:rsidP="00416D04">
      <w:pPr>
        <w:pStyle w:val="ListParagraph"/>
        <w:numPr>
          <w:ilvl w:val="1"/>
          <w:numId w:val="31"/>
        </w:numPr>
        <w:autoSpaceDE w:val="0"/>
        <w:autoSpaceDN w:val="0"/>
        <w:adjustRightInd w:val="0"/>
        <w:spacing w:before="100" w:beforeAutospacing="1" w:after="100" w:afterAutospacing="1"/>
        <w:ind w:left="1134" w:hanging="567"/>
        <w:jc w:val="both"/>
        <w:rPr>
          <w:rFonts w:eastAsia="Times New Roman" w:cs="Times New Roman"/>
          <w:bCs/>
        </w:rPr>
      </w:pPr>
      <w:r w:rsidRPr="00416D04">
        <w:rPr>
          <w:rFonts w:ascii="Times New Roman,Bold" w:hAnsi="Times New Roman,Bold"/>
          <w:b/>
          <w:bCs/>
        </w:rPr>
        <w:t>De Ridder, M. et al</w:t>
      </w:r>
      <w:r w:rsidRPr="00416D04">
        <w:rPr>
          <w:rFonts w:ascii="Times New Roman,Bold" w:hAnsi="Times New Roman,Bold"/>
        </w:rPr>
        <w:t xml:space="preserve">. </w:t>
      </w:r>
      <w:r w:rsidRPr="00416D04">
        <w:rPr>
          <w:rFonts w:ascii="Times New Roman,Bold" w:hAnsi="Times New Roman,Bold"/>
          <w:b/>
          <w:bCs/>
        </w:rPr>
        <w:t>In the heart of the limba tree (</w:t>
      </w:r>
      <w:r w:rsidRPr="00416D04">
        <w:rPr>
          <w:rFonts w:ascii="Times New Roman,BoldItalic" w:hAnsi="Times New Roman,BoldItalic"/>
          <w:b/>
          <w:bCs/>
        </w:rPr>
        <w:t xml:space="preserve">Terminalia superba </w:t>
      </w:r>
      <w:r w:rsidRPr="00416D04">
        <w:rPr>
          <w:rFonts w:ascii="Times New Roman,Bold" w:hAnsi="Times New Roman,Bold"/>
          <w:b/>
          <w:bCs/>
        </w:rPr>
        <w:t>Engl. &amp; Diels): detection methods for heart rot and false heartwood</w:t>
      </w:r>
      <w:r w:rsidRPr="00416D04">
        <w:rPr>
          <w:rFonts w:ascii="Times New Roman,Bold" w:hAnsi="Times New Roman,Bold"/>
        </w:rPr>
        <w:t xml:space="preserve">. (nd). </w:t>
      </w:r>
      <w:r>
        <w:t xml:space="preserve">Older trees may suffer from hollowing and brittle heart (limba noir).  (IDE Comment:  The UNA Eastbourne Mvule Project plants T. superba as a medium rotation tree 16-20 yrs for timber </w:t>
      </w:r>
      <w:r w:rsidR="000257C1">
        <w:t>well before heart rot will occur</w:t>
      </w:r>
      <w:r>
        <w:t xml:space="preserve">). </w:t>
      </w:r>
    </w:p>
    <w:p w14:paraId="385479FE" w14:textId="0ABE2841" w:rsidR="00FC2C04" w:rsidRPr="00774E47" w:rsidRDefault="00FC2C04" w:rsidP="00705CF2">
      <w:pPr>
        <w:pStyle w:val="ListParagraph"/>
        <w:spacing w:before="100" w:beforeAutospacing="1" w:after="100" w:afterAutospacing="1"/>
        <w:jc w:val="both"/>
        <w:rPr>
          <w:rFonts w:ascii="Times New Roman" w:eastAsia="Times New Roman" w:hAnsi="Times New Roman" w:cs="Times New Roman"/>
          <w:lang w:eastAsia="en-GB"/>
        </w:rPr>
      </w:pPr>
    </w:p>
    <w:p w14:paraId="1CE21852" w14:textId="2F87A02D" w:rsidR="002709CC" w:rsidRPr="00432D9A" w:rsidRDefault="002709CC" w:rsidP="0081506F">
      <w:pPr>
        <w:pStyle w:val="ListParagraph"/>
        <w:numPr>
          <w:ilvl w:val="0"/>
          <w:numId w:val="41"/>
        </w:numPr>
        <w:jc w:val="both"/>
        <w:rPr>
          <w:rFonts w:cstheme="minorHAnsi"/>
          <w:b/>
          <w:bCs/>
          <w:sz w:val="28"/>
          <w:szCs w:val="28"/>
        </w:rPr>
      </w:pPr>
      <w:r w:rsidRPr="00432D9A">
        <w:rPr>
          <w:rFonts w:cstheme="minorHAnsi"/>
          <w:b/>
          <w:bCs/>
          <w:sz w:val="28"/>
          <w:szCs w:val="28"/>
        </w:rPr>
        <w:t xml:space="preserve">SCIENTIFIC REFERENCES ON BIOMASS CALCULATIONS &amp; CARBON CONTENT </w:t>
      </w:r>
    </w:p>
    <w:p w14:paraId="06E26857" w14:textId="02D28C35" w:rsidR="00FE79C2" w:rsidRPr="00FE79C2" w:rsidRDefault="002709CC" w:rsidP="00705CF2">
      <w:pPr>
        <w:pStyle w:val="NormalWeb"/>
        <w:numPr>
          <w:ilvl w:val="0"/>
          <w:numId w:val="15"/>
        </w:numPr>
        <w:shd w:val="clear" w:color="auto" w:fill="FFFFFF"/>
        <w:jc w:val="both"/>
        <w:rPr>
          <w:rFonts w:asciiTheme="minorHAnsi" w:hAnsiTheme="minorHAnsi" w:cstheme="minorHAnsi"/>
          <w:b/>
          <w:bCs/>
        </w:rPr>
      </w:pPr>
      <w:r w:rsidRPr="0044779E">
        <w:rPr>
          <w:rFonts w:asciiTheme="minorHAnsi" w:hAnsiTheme="minorHAnsi" w:cstheme="minorHAnsi"/>
          <w:b/>
          <w:bCs/>
        </w:rPr>
        <w:t xml:space="preserve">Charve, J. et al. (2005). </w:t>
      </w:r>
      <w:r w:rsidRPr="0044779E">
        <w:rPr>
          <w:rFonts w:asciiTheme="minorHAnsi" w:hAnsiTheme="minorHAnsi" w:cstheme="minorHAnsi"/>
          <w:b/>
          <w:bCs/>
          <w:i/>
          <w:iCs/>
        </w:rPr>
        <w:t>Tree allometry and improved estimation of carbon stocks and balance in tropical forests.</w:t>
      </w:r>
      <w:r w:rsidRPr="0044779E">
        <w:rPr>
          <w:rFonts w:asciiTheme="minorHAnsi" w:hAnsiTheme="minorHAnsi" w:cstheme="minorHAnsi"/>
          <w:b/>
          <w:bCs/>
        </w:rPr>
        <w:t xml:space="preserve">  </w:t>
      </w:r>
      <w:r w:rsidRPr="0044779E">
        <w:rPr>
          <w:rFonts w:asciiTheme="minorHAnsi" w:hAnsiTheme="minorHAnsi" w:cstheme="minorHAnsi"/>
          <w:b/>
          <w:bCs/>
          <w:u w:val="single"/>
        </w:rPr>
        <w:t>Oecologia</w:t>
      </w:r>
      <w:r w:rsidRPr="0044779E">
        <w:rPr>
          <w:rFonts w:asciiTheme="minorHAnsi" w:hAnsiTheme="minorHAnsi" w:cstheme="minorHAnsi"/>
          <w:b/>
          <w:bCs/>
        </w:rPr>
        <w:t xml:space="preserve"> 2005, Vol.145, Issue 1, pp87-99. </w:t>
      </w:r>
      <w:r w:rsidRPr="0044779E">
        <w:rPr>
          <w:rFonts w:asciiTheme="minorHAnsi" w:hAnsiTheme="minorHAnsi" w:cstheme="minorHAnsi"/>
        </w:rPr>
        <w:t xml:space="preserve"> Detailed consideration of </w:t>
      </w:r>
      <w:r w:rsidRPr="00BE64E1">
        <w:rPr>
          <w:rFonts w:asciiTheme="minorHAnsi" w:hAnsiTheme="minorHAnsi" w:cstheme="minorHAnsi"/>
        </w:rPr>
        <w:t>interspecific</w:t>
      </w:r>
      <w:r w:rsidRPr="0044779E">
        <w:rPr>
          <w:rFonts w:asciiTheme="minorHAnsi" w:hAnsiTheme="minorHAnsi" w:cstheme="minorHAnsi"/>
        </w:rPr>
        <w:t xml:space="preserve"> variation and the adaptive significance of wood C content of AGB. Suggested that for tropical hardwoods in natural forests, a mean biomass-C conversion factor of 47.4% is currently the most reliable, analytically supported value for wood C content (revising the IPCC conversion factor of 49%).  Mentions the lack of detailed studies on below ground biomass (BGB) and carbon, which is generally estimated to be 24-37% of AGB.</w:t>
      </w:r>
    </w:p>
    <w:p w14:paraId="2A29810C" w14:textId="77777777" w:rsidR="002709CC" w:rsidRPr="0044779E" w:rsidRDefault="002709CC" w:rsidP="00705CF2">
      <w:pPr>
        <w:pStyle w:val="NormalWeb"/>
        <w:numPr>
          <w:ilvl w:val="0"/>
          <w:numId w:val="15"/>
        </w:numPr>
        <w:shd w:val="clear" w:color="auto" w:fill="FFFFFF"/>
        <w:jc w:val="both"/>
        <w:rPr>
          <w:rFonts w:asciiTheme="minorHAnsi" w:hAnsiTheme="minorHAnsi" w:cstheme="minorHAnsi"/>
          <w:b/>
          <w:bCs/>
        </w:rPr>
      </w:pPr>
      <w:r w:rsidRPr="0044779E">
        <w:rPr>
          <w:rFonts w:asciiTheme="minorHAnsi" w:hAnsiTheme="minorHAnsi" w:cstheme="minorHAnsi"/>
          <w:b/>
          <w:bCs/>
        </w:rPr>
        <w:t xml:space="preserve">Charve, J. et al. (2014). </w:t>
      </w:r>
      <w:r w:rsidRPr="0044779E">
        <w:rPr>
          <w:rFonts w:asciiTheme="minorHAnsi" w:hAnsiTheme="minorHAnsi" w:cstheme="minorHAnsi"/>
          <w:b/>
          <w:bCs/>
          <w:i/>
          <w:iCs/>
        </w:rPr>
        <w:t>Improved allometric models to estimate above ground biomass in tropical trees.</w:t>
      </w:r>
      <w:r w:rsidRPr="0044779E">
        <w:rPr>
          <w:rFonts w:asciiTheme="minorHAnsi" w:hAnsiTheme="minorHAnsi" w:cstheme="minorHAnsi"/>
          <w:b/>
          <w:bCs/>
        </w:rPr>
        <w:t xml:space="preserve"> </w:t>
      </w:r>
      <w:r w:rsidRPr="0044779E">
        <w:rPr>
          <w:rFonts w:asciiTheme="minorHAnsi" w:hAnsiTheme="minorHAnsi" w:cstheme="minorHAnsi"/>
          <w:b/>
          <w:bCs/>
          <w:u w:val="single"/>
        </w:rPr>
        <w:t>Global Change Biology</w:t>
      </w:r>
      <w:r w:rsidRPr="0044779E">
        <w:rPr>
          <w:rFonts w:asciiTheme="minorHAnsi" w:hAnsiTheme="minorHAnsi" w:cstheme="minorHAnsi"/>
          <w:b/>
          <w:bCs/>
        </w:rPr>
        <w:t xml:space="preserve"> (2014) doi: 10.1111/gcb.12629.</w:t>
      </w:r>
      <w:r w:rsidRPr="0044779E">
        <w:rPr>
          <w:rFonts w:asciiTheme="minorHAnsi" w:hAnsiTheme="minorHAnsi" w:cstheme="minorHAnsi"/>
        </w:rPr>
        <w:t xml:space="preserve"> Paper analysed a global database of harvested trees at 58 sites, spanning a wide range of climatic conditions and vegetation types. When studies using trunk diameter, total tree height and wood specific gravity were included in the AGB (above ground biomass) model as covariates, a single model was found to hold across tropical vegetation types. Wood specific gravity was an important predictor of AGB.  Several allometric models discussed, with model 4 as the most appropriate if tree height, DBH and wood density available.  Mentions that in many allometric models tree height has been absent as in closed canopy forests it is difficult to measure accurately. </w:t>
      </w:r>
    </w:p>
    <w:p w14:paraId="1548854D" w14:textId="4889382D" w:rsidR="002709CC" w:rsidRPr="0044779E" w:rsidRDefault="002709CC" w:rsidP="00705CF2">
      <w:pPr>
        <w:pStyle w:val="NormalWeb"/>
        <w:numPr>
          <w:ilvl w:val="0"/>
          <w:numId w:val="15"/>
        </w:numPr>
        <w:shd w:val="clear" w:color="auto" w:fill="FFFFFF"/>
        <w:jc w:val="both"/>
        <w:rPr>
          <w:rFonts w:asciiTheme="minorHAnsi" w:hAnsiTheme="minorHAnsi" w:cstheme="minorHAnsi"/>
          <w:b/>
          <w:bCs/>
        </w:rPr>
      </w:pPr>
      <w:r w:rsidRPr="0044779E">
        <w:rPr>
          <w:rFonts w:asciiTheme="minorHAnsi" w:hAnsiTheme="minorHAnsi" w:cstheme="minorHAnsi"/>
          <w:b/>
          <w:bCs/>
        </w:rPr>
        <w:t xml:space="preserve">Henry, M., et al. (2011). </w:t>
      </w:r>
      <w:r w:rsidRPr="0044779E">
        <w:rPr>
          <w:rFonts w:asciiTheme="minorHAnsi" w:hAnsiTheme="minorHAnsi" w:cstheme="minorHAnsi"/>
          <w:b/>
          <w:bCs/>
          <w:i/>
          <w:iCs/>
        </w:rPr>
        <w:t>Estimating tree biomass of sub-Saharan African forests: a review of available allometric equations</w:t>
      </w:r>
      <w:r w:rsidRPr="0044779E">
        <w:rPr>
          <w:rFonts w:asciiTheme="minorHAnsi" w:hAnsiTheme="minorHAnsi" w:cstheme="minorHAnsi"/>
          <w:b/>
          <w:bCs/>
        </w:rPr>
        <w:t xml:space="preserve">. </w:t>
      </w:r>
      <w:r w:rsidRPr="0044779E">
        <w:rPr>
          <w:rFonts w:asciiTheme="minorHAnsi" w:hAnsiTheme="minorHAnsi" w:cstheme="minorHAnsi"/>
          <w:b/>
          <w:bCs/>
          <w:u w:val="single"/>
        </w:rPr>
        <w:t>Silva Fennica</w:t>
      </w:r>
      <w:r w:rsidRPr="0044779E">
        <w:rPr>
          <w:rFonts w:asciiTheme="minorHAnsi" w:hAnsiTheme="minorHAnsi" w:cstheme="minorHAnsi"/>
          <w:b/>
          <w:bCs/>
        </w:rPr>
        <w:t xml:space="preserve"> 45(3B): 477–569. </w:t>
      </w:r>
      <w:r w:rsidRPr="0044779E">
        <w:rPr>
          <w:rFonts w:asciiTheme="minorHAnsi" w:hAnsiTheme="minorHAnsi" w:cstheme="minorHAnsi"/>
          <w:lang w:eastAsia="en-GB"/>
        </w:rPr>
        <w:t xml:space="preserve">This study contains a comprehensive database of allometric equations for SSA. The various equations found in the database reflect the variability in volume and biomass of different ecological zones, tree species, ages, management types and sites found in SSA. This work highlights important gaps in researchers’ ability to use equations for estimating biomass and C stocks in the various ecological zones and countries found in SSA. The use of species-specific biomass equations, rather than volume and generalised equations, are encouraged. The equations reported different tree compartments, including the stem wood and bark, stump, thin and gross branches, leaves and roots. Because it is difficult to measure the volume of the leaves or thin branches, the volume equations did not consider all of the tree compartments but focused on the bole and the merchantable compartments. Merchantable volume excluded non- merchantable aboveground compartments such as </w:t>
      </w:r>
      <w:r w:rsidR="00BD60B7" w:rsidRPr="0044779E">
        <w:rPr>
          <w:rFonts w:asciiTheme="minorHAnsi" w:hAnsiTheme="minorHAnsi" w:cstheme="minorHAnsi"/>
          <w:lang w:eastAsia="en-GB"/>
        </w:rPr>
        <w:t>treetops</w:t>
      </w:r>
      <w:r w:rsidRPr="0044779E">
        <w:rPr>
          <w:rFonts w:asciiTheme="minorHAnsi" w:hAnsiTheme="minorHAnsi" w:cstheme="minorHAnsi"/>
          <w:lang w:eastAsia="en-GB"/>
        </w:rPr>
        <w:t xml:space="preserve">, branches, twigs, foliage, stumps (sometimes excluded) and roots. On the other hand, biomass equations often considered more compartments that have fodder (leaves) or firewood (twigs) purposes. </w:t>
      </w:r>
    </w:p>
    <w:p w14:paraId="70E809F6" w14:textId="6D1F8E0D" w:rsidR="002709CC" w:rsidRPr="00F728E1" w:rsidRDefault="002709CC" w:rsidP="00F728E1">
      <w:pPr>
        <w:pStyle w:val="NormalWeb"/>
        <w:numPr>
          <w:ilvl w:val="0"/>
          <w:numId w:val="15"/>
        </w:numPr>
        <w:shd w:val="clear" w:color="auto" w:fill="FFFFFF"/>
        <w:jc w:val="both"/>
        <w:rPr>
          <w:rFonts w:asciiTheme="minorHAnsi" w:hAnsiTheme="minorHAnsi" w:cstheme="minorHAnsi"/>
          <w:b/>
          <w:bCs/>
        </w:rPr>
      </w:pPr>
      <w:r w:rsidRPr="0044779E">
        <w:rPr>
          <w:rFonts w:asciiTheme="minorHAnsi" w:hAnsiTheme="minorHAnsi" w:cstheme="minorHAnsi"/>
          <w:b/>
          <w:bCs/>
        </w:rPr>
        <w:t xml:space="preserve">Onefeli, A.O. et al. (2012). Volume Prediction for Milicia excelsa trees in Selected Institutions in Ibadan, Oyo State, Nigeria. </w:t>
      </w:r>
      <w:r w:rsidRPr="00044907">
        <w:rPr>
          <w:rFonts w:asciiTheme="minorHAnsi" w:hAnsiTheme="minorHAnsi" w:cstheme="minorHAnsi"/>
          <w:b/>
          <w:bCs/>
          <w:u w:val="single"/>
        </w:rPr>
        <w:t>Agric.Sci. Env</w:t>
      </w:r>
      <w:r w:rsidRPr="0044779E">
        <w:rPr>
          <w:rFonts w:asciiTheme="minorHAnsi" w:hAnsiTheme="minorHAnsi" w:cstheme="minorHAnsi"/>
          <w:b/>
          <w:bCs/>
        </w:rPr>
        <w:t xml:space="preserve">. 2012, 12(1):26-28. </w:t>
      </w:r>
      <w:r w:rsidRPr="0044779E">
        <w:rPr>
          <w:rFonts w:asciiTheme="minorHAnsi" w:hAnsiTheme="minorHAnsi" w:cstheme="minorHAnsi"/>
        </w:rPr>
        <w:t xml:space="preserve">The study identifies majority of M. excelsa trees (61 sampled) in city of Ibadan are on institutional grounds as they have been protected from felling.  The study showed that </w:t>
      </w:r>
      <w:r w:rsidRPr="0044779E">
        <w:rPr>
          <w:rFonts w:asciiTheme="minorHAnsi" w:hAnsiTheme="minorHAnsi" w:cstheme="minorHAnsi"/>
        </w:rPr>
        <w:lastRenderedPageBreak/>
        <w:t xml:space="preserve">stem volume of M. excelsa can be predicted from db and dbh by using the equation given with reasonable precision.  Of the 61 trees 26.2% were distributed in the 105.1 to 130cm class, 24.6% in the 130.1 to 155cm class with few in the extreme diameter class.  The majority of the trees (73%) were in the diameter range 105.1 to 180cm. 3.3% were in diameter class 205.1 and above, with one specimen having a dbh of 382cm and db of 430cm and 41m THT and MHT of 21m.   Below extract from Table 3 Summary of Statistics of growth variables p30. </w:t>
      </w:r>
    </w:p>
    <w:tbl>
      <w:tblPr>
        <w:tblStyle w:val="TableGrid"/>
        <w:tblW w:w="0" w:type="auto"/>
        <w:tblInd w:w="709" w:type="dxa"/>
        <w:tblLook w:val="04A0" w:firstRow="1" w:lastRow="0" w:firstColumn="1" w:lastColumn="0" w:noHBand="0" w:noVBand="1"/>
      </w:tblPr>
      <w:tblGrid>
        <w:gridCol w:w="1554"/>
        <w:gridCol w:w="1701"/>
        <w:gridCol w:w="1701"/>
        <w:gridCol w:w="3345"/>
      </w:tblGrid>
      <w:tr w:rsidR="00E76802" w:rsidRPr="00B01396" w14:paraId="1BF74D51" w14:textId="77777777" w:rsidTr="0000521B">
        <w:tc>
          <w:tcPr>
            <w:tcW w:w="1554" w:type="dxa"/>
          </w:tcPr>
          <w:p w14:paraId="684AD12B" w14:textId="743B6124" w:rsidR="00B01396" w:rsidRPr="007B0781" w:rsidRDefault="00B01396" w:rsidP="004F1A33">
            <w:pPr>
              <w:pStyle w:val="NormalWeb"/>
              <w:spacing w:line="192" w:lineRule="auto"/>
              <w:jc w:val="center"/>
              <w:rPr>
                <w:rFonts w:asciiTheme="minorHAnsi" w:hAnsiTheme="minorHAnsi" w:cstheme="minorHAnsi"/>
                <w:b/>
                <w:u w:val="single"/>
              </w:rPr>
            </w:pPr>
            <w:r w:rsidRPr="007B0781">
              <w:rPr>
                <w:rFonts w:asciiTheme="minorHAnsi" w:hAnsiTheme="minorHAnsi" w:cstheme="minorHAnsi"/>
                <w:b/>
                <w:u w:val="single"/>
              </w:rPr>
              <w:t>Variable</w:t>
            </w:r>
          </w:p>
        </w:tc>
        <w:tc>
          <w:tcPr>
            <w:tcW w:w="1701" w:type="dxa"/>
          </w:tcPr>
          <w:p w14:paraId="19475EAD" w14:textId="2BCE621F" w:rsidR="00B01396" w:rsidRPr="007B0781" w:rsidRDefault="00B01396" w:rsidP="004F1A33">
            <w:pPr>
              <w:pStyle w:val="NormalWeb"/>
              <w:spacing w:line="192" w:lineRule="auto"/>
              <w:jc w:val="center"/>
              <w:rPr>
                <w:rFonts w:asciiTheme="minorHAnsi" w:hAnsiTheme="minorHAnsi" w:cstheme="minorHAnsi"/>
                <w:b/>
                <w:u w:val="single"/>
              </w:rPr>
            </w:pPr>
            <w:r w:rsidRPr="007B0781">
              <w:rPr>
                <w:rFonts w:asciiTheme="minorHAnsi" w:hAnsiTheme="minorHAnsi" w:cstheme="minorHAnsi"/>
                <w:b/>
                <w:u w:val="single"/>
              </w:rPr>
              <w:t>Mean</w:t>
            </w:r>
          </w:p>
        </w:tc>
        <w:tc>
          <w:tcPr>
            <w:tcW w:w="1701" w:type="dxa"/>
          </w:tcPr>
          <w:p w14:paraId="6207D695" w14:textId="39BA0324" w:rsidR="00B01396" w:rsidRPr="007B0781" w:rsidRDefault="00B01396" w:rsidP="004F1A33">
            <w:pPr>
              <w:pStyle w:val="NormalWeb"/>
              <w:spacing w:line="192" w:lineRule="auto"/>
              <w:jc w:val="center"/>
              <w:rPr>
                <w:rFonts w:asciiTheme="minorHAnsi" w:hAnsiTheme="minorHAnsi" w:cstheme="minorHAnsi"/>
                <w:b/>
                <w:u w:val="single"/>
              </w:rPr>
            </w:pPr>
            <w:r w:rsidRPr="007B0781">
              <w:rPr>
                <w:rFonts w:asciiTheme="minorHAnsi" w:hAnsiTheme="minorHAnsi" w:cstheme="minorHAnsi"/>
                <w:b/>
                <w:u w:val="single"/>
              </w:rPr>
              <w:t>Minimum</w:t>
            </w:r>
          </w:p>
        </w:tc>
        <w:tc>
          <w:tcPr>
            <w:tcW w:w="3345" w:type="dxa"/>
          </w:tcPr>
          <w:p w14:paraId="61BFF3C2" w14:textId="50A377B1" w:rsidR="00B01396" w:rsidRPr="007B0781" w:rsidRDefault="00B01396" w:rsidP="004F1A33">
            <w:pPr>
              <w:pStyle w:val="NormalWeb"/>
              <w:spacing w:line="192" w:lineRule="auto"/>
              <w:jc w:val="center"/>
              <w:rPr>
                <w:rFonts w:asciiTheme="minorHAnsi" w:hAnsiTheme="minorHAnsi" w:cstheme="minorHAnsi"/>
                <w:b/>
                <w:u w:val="single"/>
                <w:lang w:val="pt-PT"/>
              </w:rPr>
            </w:pPr>
            <w:r w:rsidRPr="007B0781">
              <w:rPr>
                <w:rFonts w:asciiTheme="minorHAnsi" w:hAnsiTheme="minorHAnsi" w:cstheme="minorHAnsi"/>
                <w:b/>
                <w:u w:val="single"/>
                <w:lang w:val="pt-PT"/>
              </w:rPr>
              <w:t xml:space="preserve">Maximum (61 Iroko </w:t>
            </w:r>
            <w:proofErr w:type="gramStart"/>
            <w:r w:rsidRPr="007B0781">
              <w:rPr>
                <w:rFonts w:asciiTheme="minorHAnsi" w:hAnsiTheme="minorHAnsi" w:cstheme="minorHAnsi"/>
                <w:b/>
                <w:u w:val="single"/>
                <w:lang w:val="pt-PT"/>
              </w:rPr>
              <w:t xml:space="preserve">trees </w:t>
            </w:r>
            <w:r w:rsidR="00F728E1">
              <w:rPr>
                <w:rFonts w:asciiTheme="minorHAnsi" w:hAnsiTheme="minorHAnsi" w:cstheme="minorHAnsi"/>
                <w:b/>
                <w:u w:val="single"/>
                <w:lang w:val="pt-PT"/>
              </w:rPr>
              <w:t>)</w:t>
            </w:r>
            <w:proofErr w:type="gramEnd"/>
            <w:r w:rsidRPr="007B0781">
              <w:rPr>
                <w:rFonts w:asciiTheme="minorHAnsi" w:hAnsiTheme="minorHAnsi" w:cstheme="minorHAnsi"/>
                <w:b/>
                <w:u w:val="single"/>
                <w:lang w:val="pt-PT"/>
              </w:rPr>
              <w:t>/ Milicia excelsa</w:t>
            </w:r>
          </w:p>
        </w:tc>
      </w:tr>
      <w:tr w:rsidR="00E76802" w14:paraId="5F90A387" w14:textId="77777777" w:rsidTr="0000521B">
        <w:tc>
          <w:tcPr>
            <w:tcW w:w="1554" w:type="dxa"/>
          </w:tcPr>
          <w:p w14:paraId="795DEF38" w14:textId="2E505DDF" w:rsidR="00B01396" w:rsidRDefault="00B01396" w:rsidP="004F1A33">
            <w:pPr>
              <w:pStyle w:val="NormalWeb"/>
              <w:spacing w:line="192" w:lineRule="auto"/>
              <w:jc w:val="center"/>
              <w:rPr>
                <w:rFonts w:asciiTheme="minorHAnsi" w:hAnsiTheme="minorHAnsi" w:cstheme="minorHAnsi"/>
              </w:rPr>
            </w:pPr>
            <w:r w:rsidRPr="00115A92">
              <w:rPr>
                <w:rFonts w:asciiTheme="minorHAnsi" w:hAnsiTheme="minorHAnsi" w:cstheme="minorHAnsi"/>
              </w:rPr>
              <w:t>SV (m</w:t>
            </w:r>
            <w:r w:rsidRPr="00115A92">
              <w:rPr>
                <w:rFonts w:asciiTheme="minorHAnsi" w:hAnsiTheme="minorHAnsi" w:cstheme="minorHAnsi"/>
                <w:vertAlign w:val="superscript"/>
              </w:rPr>
              <w:t>3</w:t>
            </w:r>
            <w:r w:rsidRPr="00115A92">
              <w:rPr>
                <w:rFonts w:asciiTheme="minorHAnsi" w:hAnsiTheme="minorHAnsi" w:cstheme="minorHAnsi"/>
              </w:rPr>
              <w:t>)</w:t>
            </w:r>
          </w:p>
        </w:tc>
        <w:tc>
          <w:tcPr>
            <w:tcW w:w="1701" w:type="dxa"/>
          </w:tcPr>
          <w:p w14:paraId="23AF2C89" w14:textId="5C2DFC17" w:rsidR="00B01396" w:rsidRDefault="00E76802" w:rsidP="004F1A33">
            <w:pPr>
              <w:pStyle w:val="NormalWeb"/>
              <w:spacing w:line="192" w:lineRule="auto"/>
              <w:jc w:val="center"/>
              <w:rPr>
                <w:rFonts w:asciiTheme="minorHAnsi" w:hAnsiTheme="minorHAnsi" w:cstheme="minorHAnsi"/>
              </w:rPr>
            </w:pPr>
            <w:r w:rsidRPr="00115A92">
              <w:rPr>
                <w:rFonts w:asciiTheme="minorHAnsi" w:hAnsiTheme="minorHAnsi" w:cstheme="minorHAnsi"/>
              </w:rPr>
              <w:t>16.59</w:t>
            </w:r>
          </w:p>
        </w:tc>
        <w:tc>
          <w:tcPr>
            <w:tcW w:w="1701" w:type="dxa"/>
          </w:tcPr>
          <w:p w14:paraId="124C3A8C" w14:textId="6B2CF484" w:rsidR="00B01396" w:rsidRDefault="008954AB" w:rsidP="004F1A33">
            <w:pPr>
              <w:pStyle w:val="NormalWeb"/>
              <w:spacing w:line="192" w:lineRule="auto"/>
              <w:jc w:val="center"/>
              <w:rPr>
                <w:rFonts w:asciiTheme="minorHAnsi" w:hAnsiTheme="minorHAnsi" w:cstheme="minorHAnsi"/>
              </w:rPr>
            </w:pPr>
            <w:r w:rsidRPr="00115A92">
              <w:rPr>
                <w:rFonts w:asciiTheme="minorHAnsi" w:hAnsiTheme="minorHAnsi" w:cstheme="minorHAnsi"/>
              </w:rPr>
              <w:t>0.14</w:t>
            </w:r>
          </w:p>
        </w:tc>
        <w:tc>
          <w:tcPr>
            <w:tcW w:w="3345" w:type="dxa"/>
          </w:tcPr>
          <w:p w14:paraId="116EB7DF" w14:textId="089D23F4" w:rsidR="00B01396" w:rsidRDefault="008954AB" w:rsidP="004F1A33">
            <w:pPr>
              <w:pStyle w:val="NormalWeb"/>
              <w:spacing w:line="192" w:lineRule="auto"/>
              <w:jc w:val="center"/>
              <w:rPr>
                <w:rFonts w:asciiTheme="minorHAnsi" w:hAnsiTheme="minorHAnsi" w:cstheme="minorHAnsi"/>
              </w:rPr>
            </w:pPr>
            <w:r w:rsidRPr="00115A92">
              <w:rPr>
                <w:rFonts w:asciiTheme="minorHAnsi" w:hAnsiTheme="minorHAnsi" w:cstheme="minorHAnsi"/>
              </w:rPr>
              <w:t>66.36</w:t>
            </w:r>
            <w:r w:rsidRPr="00115A92">
              <w:rPr>
                <w:rFonts w:asciiTheme="minorHAnsi" w:hAnsiTheme="minorHAnsi" w:cstheme="minorHAnsi"/>
              </w:rPr>
              <w:tab/>
              <w:t>(Stem Volume)</w:t>
            </w:r>
          </w:p>
        </w:tc>
      </w:tr>
      <w:tr w:rsidR="00E76802" w14:paraId="7C6EDF30" w14:textId="77777777" w:rsidTr="0000521B">
        <w:tc>
          <w:tcPr>
            <w:tcW w:w="1554" w:type="dxa"/>
          </w:tcPr>
          <w:p w14:paraId="4ADE50C1" w14:textId="36AD56F4" w:rsidR="00B01396" w:rsidRDefault="00B01396" w:rsidP="004F1A33">
            <w:pPr>
              <w:pStyle w:val="NormalWeb"/>
              <w:spacing w:line="192" w:lineRule="auto"/>
              <w:jc w:val="center"/>
              <w:rPr>
                <w:rFonts w:asciiTheme="minorHAnsi" w:hAnsiTheme="minorHAnsi" w:cstheme="minorHAnsi"/>
              </w:rPr>
            </w:pPr>
            <w:r w:rsidRPr="00115A92">
              <w:rPr>
                <w:rFonts w:asciiTheme="minorHAnsi" w:hAnsiTheme="minorHAnsi" w:cstheme="minorHAnsi"/>
              </w:rPr>
              <w:t>dA (m</w:t>
            </w:r>
            <w:r w:rsidRPr="00115A92">
              <w:rPr>
                <w:rFonts w:asciiTheme="minorHAnsi" w:hAnsiTheme="minorHAnsi" w:cstheme="minorHAnsi"/>
                <w:vertAlign w:val="superscript"/>
              </w:rPr>
              <w:t>2</w:t>
            </w:r>
            <w:r w:rsidRPr="00115A92">
              <w:rPr>
                <w:rFonts w:asciiTheme="minorHAnsi" w:hAnsiTheme="minorHAnsi" w:cstheme="minorHAnsi"/>
              </w:rPr>
              <w:t>)</w:t>
            </w:r>
          </w:p>
        </w:tc>
        <w:tc>
          <w:tcPr>
            <w:tcW w:w="1701" w:type="dxa"/>
          </w:tcPr>
          <w:p w14:paraId="4DCCC65E" w14:textId="2F10A4CF" w:rsidR="00B01396" w:rsidRDefault="00E76802" w:rsidP="004F1A33">
            <w:pPr>
              <w:pStyle w:val="NormalWeb"/>
              <w:spacing w:line="192" w:lineRule="auto"/>
              <w:jc w:val="center"/>
              <w:rPr>
                <w:rFonts w:asciiTheme="minorHAnsi" w:hAnsiTheme="minorHAnsi" w:cstheme="minorHAnsi"/>
              </w:rPr>
            </w:pPr>
            <w:r w:rsidRPr="00115A92">
              <w:rPr>
                <w:rFonts w:asciiTheme="minorHAnsi" w:hAnsiTheme="minorHAnsi" w:cstheme="minorHAnsi"/>
              </w:rPr>
              <w:t>1.68</w:t>
            </w:r>
          </w:p>
        </w:tc>
        <w:tc>
          <w:tcPr>
            <w:tcW w:w="1701" w:type="dxa"/>
          </w:tcPr>
          <w:p w14:paraId="43E2DE36" w14:textId="340B3942" w:rsidR="00B01396" w:rsidRDefault="008954AB" w:rsidP="004F1A33">
            <w:pPr>
              <w:pStyle w:val="NormalWeb"/>
              <w:spacing w:line="192" w:lineRule="auto"/>
              <w:jc w:val="center"/>
              <w:rPr>
                <w:rFonts w:asciiTheme="minorHAnsi" w:hAnsiTheme="minorHAnsi" w:cstheme="minorHAnsi"/>
              </w:rPr>
            </w:pPr>
            <w:r w:rsidRPr="00115A92">
              <w:rPr>
                <w:rFonts w:asciiTheme="minorHAnsi" w:hAnsiTheme="minorHAnsi" w:cstheme="minorHAnsi"/>
              </w:rPr>
              <w:t>0.05</w:t>
            </w:r>
          </w:p>
        </w:tc>
        <w:tc>
          <w:tcPr>
            <w:tcW w:w="3345" w:type="dxa"/>
          </w:tcPr>
          <w:p w14:paraId="7173A431" w14:textId="1CED782B" w:rsidR="00B01396" w:rsidRDefault="008954AB" w:rsidP="004F1A33">
            <w:pPr>
              <w:pStyle w:val="NormalWeb"/>
              <w:spacing w:line="192" w:lineRule="auto"/>
              <w:jc w:val="center"/>
              <w:rPr>
                <w:rFonts w:asciiTheme="minorHAnsi" w:hAnsiTheme="minorHAnsi" w:cstheme="minorHAnsi"/>
              </w:rPr>
            </w:pPr>
            <w:r w:rsidRPr="00115A92">
              <w:rPr>
                <w:rFonts w:asciiTheme="minorHAnsi" w:hAnsiTheme="minorHAnsi" w:cstheme="minorHAnsi"/>
              </w:rPr>
              <w:t>11.46</w:t>
            </w:r>
            <w:r w:rsidRPr="00115A92">
              <w:rPr>
                <w:rFonts w:asciiTheme="minorHAnsi" w:hAnsiTheme="minorHAnsi" w:cstheme="minorHAnsi"/>
              </w:rPr>
              <w:tab/>
              <w:t>(Basal Area)</w:t>
            </w:r>
          </w:p>
        </w:tc>
      </w:tr>
      <w:tr w:rsidR="00E76802" w14:paraId="5608CD21" w14:textId="77777777" w:rsidTr="0000521B">
        <w:tc>
          <w:tcPr>
            <w:tcW w:w="1554" w:type="dxa"/>
          </w:tcPr>
          <w:p w14:paraId="44752A26" w14:textId="32ED90CE" w:rsidR="00B01396" w:rsidRDefault="00B01396" w:rsidP="004F1A33">
            <w:pPr>
              <w:pStyle w:val="NormalWeb"/>
              <w:spacing w:line="192" w:lineRule="auto"/>
              <w:jc w:val="center"/>
              <w:rPr>
                <w:rFonts w:asciiTheme="minorHAnsi" w:hAnsiTheme="minorHAnsi" w:cstheme="minorHAnsi"/>
              </w:rPr>
            </w:pPr>
            <w:r w:rsidRPr="0044779E">
              <w:rPr>
                <w:rFonts w:asciiTheme="minorHAnsi" w:hAnsiTheme="minorHAnsi" w:cstheme="minorHAnsi"/>
              </w:rPr>
              <w:t>dbh (cm)</w:t>
            </w:r>
          </w:p>
        </w:tc>
        <w:tc>
          <w:tcPr>
            <w:tcW w:w="1701" w:type="dxa"/>
          </w:tcPr>
          <w:p w14:paraId="5DDEDB6E" w14:textId="0DD29DAE" w:rsidR="00B01396" w:rsidRDefault="00E76802" w:rsidP="004F1A33">
            <w:pPr>
              <w:pStyle w:val="NormalWeb"/>
              <w:spacing w:line="192" w:lineRule="auto"/>
              <w:jc w:val="center"/>
              <w:rPr>
                <w:rFonts w:asciiTheme="minorHAnsi" w:hAnsiTheme="minorHAnsi" w:cstheme="minorHAnsi"/>
              </w:rPr>
            </w:pPr>
            <w:r w:rsidRPr="0044779E">
              <w:rPr>
                <w:rFonts w:asciiTheme="minorHAnsi" w:hAnsiTheme="minorHAnsi" w:cstheme="minorHAnsi"/>
              </w:rPr>
              <w:t>137.95</w:t>
            </w:r>
          </w:p>
        </w:tc>
        <w:tc>
          <w:tcPr>
            <w:tcW w:w="1701" w:type="dxa"/>
          </w:tcPr>
          <w:p w14:paraId="4994ECD1" w14:textId="66A005D3" w:rsidR="00B01396" w:rsidRDefault="008954AB" w:rsidP="004F1A33">
            <w:pPr>
              <w:pStyle w:val="NormalWeb"/>
              <w:spacing w:line="192" w:lineRule="auto"/>
              <w:jc w:val="center"/>
              <w:rPr>
                <w:rFonts w:asciiTheme="minorHAnsi" w:hAnsiTheme="minorHAnsi" w:cstheme="minorHAnsi"/>
              </w:rPr>
            </w:pPr>
            <w:r w:rsidRPr="0044779E">
              <w:rPr>
                <w:rFonts w:asciiTheme="minorHAnsi" w:hAnsiTheme="minorHAnsi" w:cstheme="minorHAnsi"/>
              </w:rPr>
              <w:t>24.00</w:t>
            </w:r>
          </w:p>
        </w:tc>
        <w:tc>
          <w:tcPr>
            <w:tcW w:w="3345" w:type="dxa"/>
          </w:tcPr>
          <w:p w14:paraId="714DF04E" w14:textId="764F6323" w:rsidR="00B01396" w:rsidRDefault="008954AB" w:rsidP="004F1A33">
            <w:pPr>
              <w:pStyle w:val="NormalWeb"/>
              <w:spacing w:line="192" w:lineRule="auto"/>
              <w:jc w:val="center"/>
              <w:rPr>
                <w:rFonts w:asciiTheme="minorHAnsi" w:hAnsiTheme="minorHAnsi" w:cstheme="minorHAnsi"/>
              </w:rPr>
            </w:pPr>
            <w:r w:rsidRPr="0044779E">
              <w:rPr>
                <w:rFonts w:asciiTheme="minorHAnsi" w:hAnsiTheme="minorHAnsi" w:cstheme="minorHAnsi"/>
                <w:b/>
                <w:bCs/>
              </w:rPr>
              <w:t>382.00</w:t>
            </w:r>
            <w:r w:rsidRPr="0044779E">
              <w:rPr>
                <w:rFonts w:asciiTheme="minorHAnsi" w:hAnsiTheme="minorHAnsi" w:cstheme="minorHAnsi"/>
                <w:b/>
                <w:bCs/>
              </w:rPr>
              <w:tab/>
              <w:t>(</w:t>
            </w:r>
            <w:r w:rsidRPr="0044779E">
              <w:rPr>
                <w:rFonts w:asciiTheme="minorHAnsi" w:hAnsiTheme="minorHAnsi" w:cstheme="minorHAnsi"/>
              </w:rPr>
              <w:t>Diameter breast height 1.3m)</w:t>
            </w:r>
          </w:p>
        </w:tc>
      </w:tr>
      <w:tr w:rsidR="00E76802" w14:paraId="70CF7BFE" w14:textId="77777777" w:rsidTr="0000521B">
        <w:tc>
          <w:tcPr>
            <w:tcW w:w="1554" w:type="dxa"/>
          </w:tcPr>
          <w:p w14:paraId="2AB2614D" w14:textId="5ED8F139" w:rsidR="00B01396" w:rsidRDefault="00B01396" w:rsidP="004F1A33">
            <w:pPr>
              <w:pStyle w:val="NormalWeb"/>
              <w:spacing w:line="192" w:lineRule="auto"/>
              <w:jc w:val="center"/>
              <w:rPr>
                <w:rFonts w:asciiTheme="minorHAnsi" w:hAnsiTheme="minorHAnsi" w:cstheme="minorHAnsi"/>
              </w:rPr>
            </w:pPr>
            <w:r w:rsidRPr="0044779E">
              <w:rPr>
                <w:rFonts w:asciiTheme="minorHAnsi" w:hAnsiTheme="minorHAnsi" w:cstheme="minorHAnsi"/>
              </w:rPr>
              <w:t>THT (m)</w:t>
            </w:r>
          </w:p>
        </w:tc>
        <w:tc>
          <w:tcPr>
            <w:tcW w:w="1701" w:type="dxa"/>
          </w:tcPr>
          <w:p w14:paraId="184B998C" w14:textId="751704C6" w:rsidR="00B01396" w:rsidRDefault="00E76802" w:rsidP="004F1A33">
            <w:pPr>
              <w:pStyle w:val="NormalWeb"/>
              <w:spacing w:line="192" w:lineRule="auto"/>
              <w:jc w:val="center"/>
              <w:rPr>
                <w:rFonts w:asciiTheme="minorHAnsi" w:hAnsiTheme="minorHAnsi" w:cstheme="minorHAnsi"/>
              </w:rPr>
            </w:pPr>
            <w:r w:rsidRPr="0044779E">
              <w:rPr>
                <w:rFonts w:asciiTheme="minorHAnsi" w:hAnsiTheme="minorHAnsi" w:cstheme="minorHAnsi"/>
              </w:rPr>
              <w:t>27.22</w:t>
            </w:r>
          </w:p>
        </w:tc>
        <w:tc>
          <w:tcPr>
            <w:tcW w:w="1701" w:type="dxa"/>
          </w:tcPr>
          <w:p w14:paraId="274E49C8" w14:textId="0859D710" w:rsidR="00B01396" w:rsidRDefault="008954AB" w:rsidP="004F1A33">
            <w:pPr>
              <w:pStyle w:val="NormalWeb"/>
              <w:spacing w:line="192" w:lineRule="auto"/>
              <w:jc w:val="center"/>
              <w:rPr>
                <w:rFonts w:asciiTheme="minorHAnsi" w:hAnsiTheme="minorHAnsi" w:cstheme="minorHAnsi"/>
              </w:rPr>
            </w:pPr>
            <w:r w:rsidRPr="0044779E">
              <w:rPr>
                <w:rFonts w:asciiTheme="minorHAnsi" w:hAnsiTheme="minorHAnsi" w:cstheme="minorHAnsi"/>
              </w:rPr>
              <w:t>9.00</w:t>
            </w:r>
          </w:p>
        </w:tc>
        <w:tc>
          <w:tcPr>
            <w:tcW w:w="3345" w:type="dxa"/>
          </w:tcPr>
          <w:p w14:paraId="017140CC" w14:textId="2C27F2CE" w:rsidR="00B01396" w:rsidRDefault="008E3710" w:rsidP="004F1A33">
            <w:pPr>
              <w:pStyle w:val="NormalWeb"/>
              <w:spacing w:line="192" w:lineRule="auto"/>
              <w:jc w:val="center"/>
              <w:rPr>
                <w:rFonts w:asciiTheme="minorHAnsi" w:hAnsiTheme="minorHAnsi" w:cstheme="minorHAnsi"/>
              </w:rPr>
            </w:pPr>
            <w:r w:rsidRPr="0044779E">
              <w:rPr>
                <w:rFonts w:asciiTheme="minorHAnsi" w:hAnsiTheme="minorHAnsi" w:cstheme="minorHAnsi"/>
              </w:rPr>
              <w:t>41.00</w:t>
            </w:r>
            <w:r w:rsidRPr="0044779E">
              <w:rPr>
                <w:rFonts w:asciiTheme="minorHAnsi" w:hAnsiTheme="minorHAnsi" w:cstheme="minorHAnsi"/>
              </w:rPr>
              <w:tab/>
              <w:t>Total Tree Height</w:t>
            </w:r>
          </w:p>
        </w:tc>
      </w:tr>
      <w:tr w:rsidR="00E76802" w14:paraId="5E4F9412" w14:textId="77777777" w:rsidTr="0000521B">
        <w:tc>
          <w:tcPr>
            <w:tcW w:w="1554" w:type="dxa"/>
          </w:tcPr>
          <w:p w14:paraId="62D4ADB8" w14:textId="0F9F9DEE" w:rsidR="00B01396" w:rsidRDefault="00B01396" w:rsidP="004F1A33">
            <w:pPr>
              <w:pStyle w:val="NormalWeb"/>
              <w:spacing w:line="192" w:lineRule="auto"/>
              <w:jc w:val="center"/>
              <w:rPr>
                <w:rFonts w:asciiTheme="minorHAnsi" w:hAnsiTheme="minorHAnsi" w:cstheme="minorHAnsi"/>
              </w:rPr>
            </w:pPr>
            <w:r w:rsidRPr="0044779E">
              <w:rPr>
                <w:rFonts w:asciiTheme="minorHAnsi" w:hAnsiTheme="minorHAnsi" w:cstheme="minorHAnsi"/>
              </w:rPr>
              <w:t>MHT (m)</w:t>
            </w:r>
          </w:p>
        </w:tc>
        <w:tc>
          <w:tcPr>
            <w:tcW w:w="1701" w:type="dxa"/>
          </w:tcPr>
          <w:p w14:paraId="1419472F" w14:textId="5039A639" w:rsidR="00B01396" w:rsidRDefault="008954AB" w:rsidP="004F1A33">
            <w:pPr>
              <w:pStyle w:val="NormalWeb"/>
              <w:spacing w:line="192" w:lineRule="auto"/>
              <w:jc w:val="center"/>
              <w:rPr>
                <w:rFonts w:asciiTheme="minorHAnsi" w:hAnsiTheme="minorHAnsi" w:cstheme="minorHAnsi"/>
              </w:rPr>
            </w:pPr>
            <w:r w:rsidRPr="0044779E">
              <w:rPr>
                <w:rFonts w:asciiTheme="minorHAnsi" w:hAnsiTheme="minorHAnsi" w:cstheme="minorHAnsi"/>
              </w:rPr>
              <w:t>14.94</w:t>
            </w:r>
          </w:p>
        </w:tc>
        <w:tc>
          <w:tcPr>
            <w:tcW w:w="1701" w:type="dxa"/>
          </w:tcPr>
          <w:p w14:paraId="28CC99A9" w14:textId="6DDE2941" w:rsidR="00B01396" w:rsidRDefault="008954AB" w:rsidP="004F1A33">
            <w:pPr>
              <w:pStyle w:val="NormalWeb"/>
              <w:spacing w:line="192" w:lineRule="auto"/>
              <w:jc w:val="center"/>
              <w:rPr>
                <w:rFonts w:asciiTheme="minorHAnsi" w:hAnsiTheme="minorHAnsi" w:cstheme="minorHAnsi"/>
              </w:rPr>
            </w:pPr>
            <w:r w:rsidRPr="0044779E">
              <w:rPr>
                <w:rFonts w:asciiTheme="minorHAnsi" w:hAnsiTheme="minorHAnsi" w:cstheme="minorHAnsi"/>
              </w:rPr>
              <w:t>4.00</w:t>
            </w:r>
          </w:p>
        </w:tc>
        <w:tc>
          <w:tcPr>
            <w:tcW w:w="3345" w:type="dxa"/>
          </w:tcPr>
          <w:p w14:paraId="4C2FBC17" w14:textId="5B87CB4D" w:rsidR="00B01396" w:rsidRDefault="008E3710" w:rsidP="004F1A33">
            <w:pPr>
              <w:pStyle w:val="NormalWeb"/>
              <w:spacing w:line="192" w:lineRule="auto"/>
              <w:jc w:val="center"/>
              <w:rPr>
                <w:rFonts w:asciiTheme="minorHAnsi" w:hAnsiTheme="minorHAnsi" w:cstheme="minorHAnsi"/>
              </w:rPr>
            </w:pPr>
            <w:r w:rsidRPr="0044779E">
              <w:rPr>
                <w:rFonts w:asciiTheme="minorHAnsi" w:hAnsiTheme="minorHAnsi" w:cstheme="minorHAnsi"/>
              </w:rPr>
              <w:t>22.00</w:t>
            </w:r>
            <w:r w:rsidRPr="0044779E">
              <w:rPr>
                <w:rFonts w:asciiTheme="minorHAnsi" w:hAnsiTheme="minorHAnsi" w:cstheme="minorHAnsi"/>
              </w:rPr>
              <w:tab/>
              <w:t>Merchantable Tree Height (ie.to</w:t>
            </w:r>
            <w:r>
              <w:rPr>
                <w:rFonts w:asciiTheme="minorHAnsi" w:hAnsiTheme="minorHAnsi" w:cstheme="minorHAnsi"/>
              </w:rPr>
              <w:t xml:space="preserve"> </w:t>
            </w:r>
            <w:r w:rsidRPr="0044779E">
              <w:rPr>
                <w:rFonts w:asciiTheme="minorHAnsi" w:hAnsiTheme="minorHAnsi" w:cstheme="minorHAnsi"/>
              </w:rPr>
              <w:t>bifurcation</w:t>
            </w:r>
            <w:r>
              <w:rPr>
                <w:rFonts w:asciiTheme="minorHAnsi" w:hAnsiTheme="minorHAnsi" w:cstheme="minorHAnsi"/>
              </w:rPr>
              <w:t>)</w:t>
            </w:r>
          </w:p>
        </w:tc>
      </w:tr>
      <w:tr w:rsidR="00E76802" w14:paraId="36D71363" w14:textId="77777777" w:rsidTr="0000521B">
        <w:tc>
          <w:tcPr>
            <w:tcW w:w="1554" w:type="dxa"/>
          </w:tcPr>
          <w:p w14:paraId="2DF06EF3" w14:textId="797A7F83" w:rsidR="00B01396" w:rsidRDefault="00B01396" w:rsidP="004F1A33">
            <w:pPr>
              <w:pStyle w:val="NormalWeb"/>
              <w:spacing w:line="192" w:lineRule="auto"/>
              <w:jc w:val="center"/>
              <w:rPr>
                <w:rFonts w:asciiTheme="minorHAnsi" w:hAnsiTheme="minorHAnsi" w:cstheme="minorHAnsi"/>
              </w:rPr>
            </w:pPr>
            <w:r w:rsidRPr="00BA3F4F">
              <w:rPr>
                <w:rFonts w:asciiTheme="minorHAnsi" w:hAnsiTheme="minorHAnsi" w:cstheme="minorHAnsi"/>
                <w:lang w:val="da-DK"/>
              </w:rPr>
              <w:t>dm (cm)</w:t>
            </w:r>
          </w:p>
        </w:tc>
        <w:tc>
          <w:tcPr>
            <w:tcW w:w="1701" w:type="dxa"/>
          </w:tcPr>
          <w:p w14:paraId="7BDD3624" w14:textId="11A3A45F" w:rsidR="00B01396" w:rsidRDefault="008954AB" w:rsidP="004F1A33">
            <w:pPr>
              <w:pStyle w:val="NormalWeb"/>
              <w:spacing w:line="192" w:lineRule="auto"/>
              <w:jc w:val="center"/>
              <w:rPr>
                <w:rFonts w:asciiTheme="minorHAnsi" w:hAnsiTheme="minorHAnsi" w:cstheme="minorHAnsi"/>
              </w:rPr>
            </w:pPr>
            <w:r w:rsidRPr="00BA3F4F">
              <w:rPr>
                <w:rFonts w:asciiTheme="minorHAnsi" w:hAnsiTheme="minorHAnsi" w:cstheme="minorHAnsi"/>
                <w:lang w:val="da-DK"/>
              </w:rPr>
              <w:t>96.59</w:t>
            </w:r>
          </w:p>
        </w:tc>
        <w:tc>
          <w:tcPr>
            <w:tcW w:w="1701" w:type="dxa"/>
          </w:tcPr>
          <w:p w14:paraId="7073096C" w14:textId="6B7AAC70" w:rsidR="00B01396" w:rsidRDefault="008954AB" w:rsidP="004F1A33">
            <w:pPr>
              <w:pStyle w:val="NormalWeb"/>
              <w:spacing w:line="192" w:lineRule="auto"/>
              <w:jc w:val="center"/>
              <w:rPr>
                <w:rFonts w:asciiTheme="minorHAnsi" w:hAnsiTheme="minorHAnsi" w:cstheme="minorHAnsi"/>
              </w:rPr>
            </w:pPr>
            <w:r w:rsidRPr="00BA3F4F">
              <w:rPr>
                <w:rFonts w:asciiTheme="minorHAnsi" w:hAnsiTheme="minorHAnsi" w:cstheme="minorHAnsi"/>
                <w:lang w:val="da-DK"/>
              </w:rPr>
              <w:t>20.00</w:t>
            </w:r>
          </w:p>
        </w:tc>
        <w:tc>
          <w:tcPr>
            <w:tcW w:w="3345" w:type="dxa"/>
          </w:tcPr>
          <w:p w14:paraId="083D684D" w14:textId="4B183FA0" w:rsidR="00B01396" w:rsidRPr="0000521B" w:rsidRDefault="008E3710" w:rsidP="0000521B">
            <w:pPr>
              <w:pStyle w:val="NormalWeb"/>
              <w:shd w:val="clear" w:color="auto" w:fill="FFFFFF"/>
              <w:spacing w:line="192" w:lineRule="auto"/>
              <w:ind w:firstLine="567"/>
              <w:jc w:val="center"/>
              <w:rPr>
                <w:rFonts w:asciiTheme="minorHAnsi" w:hAnsiTheme="minorHAnsi" w:cstheme="minorHAnsi"/>
                <w:lang w:val="da-DK"/>
              </w:rPr>
            </w:pPr>
            <w:r w:rsidRPr="00BA3F4F">
              <w:rPr>
                <w:rFonts w:asciiTheme="minorHAnsi" w:hAnsiTheme="minorHAnsi" w:cstheme="minorHAnsi"/>
                <w:lang w:val="da-DK"/>
              </w:rPr>
              <w:t>180.00   Diameter middle (mid-stem)</w:t>
            </w:r>
          </w:p>
        </w:tc>
      </w:tr>
      <w:tr w:rsidR="00E76802" w14:paraId="7A297AF4" w14:textId="77777777" w:rsidTr="0000521B">
        <w:tc>
          <w:tcPr>
            <w:tcW w:w="1554" w:type="dxa"/>
          </w:tcPr>
          <w:p w14:paraId="740F8664" w14:textId="5C363B99" w:rsidR="00B01396" w:rsidRDefault="00B01396" w:rsidP="004F1A33">
            <w:pPr>
              <w:pStyle w:val="NormalWeb"/>
              <w:spacing w:line="192" w:lineRule="auto"/>
              <w:jc w:val="center"/>
              <w:rPr>
                <w:rFonts w:asciiTheme="minorHAnsi" w:hAnsiTheme="minorHAnsi" w:cstheme="minorHAnsi"/>
              </w:rPr>
            </w:pPr>
            <w:r w:rsidRPr="0044779E">
              <w:rPr>
                <w:rFonts w:asciiTheme="minorHAnsi" w:hAnsiTheme="minorHAnsi" w:cstheme="minorHAnsi"/>
              </w:rPr>
              <w:t>dt (cm)</w:t>
            </w:r>
          </w:p>
        </w:tc>
        <w:tc>
          <w:tcPr>
            <w:tcW w:w="1701" w:type="dxa"/>
          </w:tcPr>
          <w:p w14:paraId="12A3AAD5" w14:textId="2799409D" w:rsidR="00B01396" w:rsidRDefault="008954AB" w:rsidP="004F1A33">
            <w:pPr>
              <w:pStyle w:val="NormalWeb"/>
              <w:spacing w:line="192" w:lineRule="auto"/>
              <w:jc w:val="center"/>
              <w:rPr>
                <w:rFonts w:asciiTheme="minorHAnsi" w:hAnsiTheme="minorHAnsi" w:cstheme="minorHAnsi"/>
              </w:rPr>
            </w:pPr>
            <w:r w:rsidRPr="0044779E">
              <w:rPr>
                <w:rFonts w:asciiTheme="minorHAnsi" w:hAnsiTheme="minorHAnsi" w:cstheme="minorHAnsi"/>
              </w:rPr>
              <w:t>79.08</w:t>
            </w:r>
          </w:p>
        </w:tc>
        <w:tc>
          <w:tcPr>
            <w:tcW w:w="1701" w:type="dxa"/>
          </w:tcPr>
          <w:p w14:paraId="2BDD74A3" w14:textId="3D508D52" w:rsidR="00B01396" w:rsidRDefault="008954AB" w:rsidP="004F1A33">
            <w:pPr>
              <w:pStyle w:val="NormalWeb"/>
              <w:spacing w:line="192" w:lineRule="auto"/>
              <w:jc w:val="center"/>
              <w:rPr>
                <w:rFonts w:asciiTheme="minorHAnsi" w:hAnsiTheme="minorHAnsi" w:cstheme="minorHAnsi"/>
              </w:rPr>
            </w:pPr>
            <w:r w:rsidRPr="0044779E">
              <w:rPr>
                <w:rFonts w:asciiTheme="minorHAnsi" w:hAnsiTheme="minorHAnsi" w:cstheme="minorHAnsi"/>
              </w:rPr>
              <w:t>10.00</w:t>
            </w:r>
          </w:p>
        </w:tc>
        <w:tc>
          <w:tcPr>
            <w:tcW w:w="3345" w:type="dxa"/>
          </w:tcPr>
          <w:p w14:paraId="69D06116" w14:textId="7C4DBA7B" w:rsidR="00B01396" w:rsidRDefault="008E3710" w:rsidP="0000521B">
            <w:pPr>
              <w:pStyle w:val="NormalWeb"/>
              <w:shd w:val="clear" w:color="auto" w:fill="FFFFFF"/>
              <w:spacing w:line="192" w:lineRule="auto"/>
              <w:ind w:firstLine="567"/>
              <w:jc w:val="center"/>
              <w:rPr>
                <w:rFonts w:asciiTheme="minorHAnsi" w:hAnsiTheme="minorHAnsi" w:cstheme="minorHAnsi"/>
              </w:rPr>
            </w:pPr>
            <w:r w:rsidRPr="0044779E">
              <w:rPr>
                <w:rFonts w:asciiTheme="minorHAnsi" w:hAnsiTheme="minorHAnsi" w:cstheme="minorHAnsi"/>
              </w:rPr>
              <w:t>160.00   Diameter top (top of main stem)</w:t>
            </w:r>
          </w:p>
        </w:tc>
      </w:tr>
    </w:tbl>
    <w:p w14:paraId="41B48C51" w14:textId="3D1DD17C" w:rsidR="00750337" w:rsidRDefault="002709CC" w:rsidP="00705CF2">
      <w:pPr>
        <w:pStyle w:val="NormalWeb"/>
        <w:shd w:val="clear" w:color="auto" w:fill="FFFFFF"/>
        <w:spacing w:line="192" w:lineRule="auto"/>
        <w:ind w:left="709" w:hanging="142"/>
        <w:jc w:val="both"/>
        <w:rPr>
          <w:rFonts w:asciiTheme="minorHAnsi" w:hAnsiTheme="minorHAnsi" w:cstheme="minorHAnsi"/>
        </w:rPr>
      </w:pPr>
      <w:r w:rsidRPr="0044779E">
        <w:rPr>
          <w:rFonts w:asciiTheme="minorHAnsi" w:hAnsiTheme="minorHAnsi" w:cstheme="minorHAnsi"/>
        </w:rPr>
        <w:t>(</w:t>
      </w:r>
      <w:r w:rsidR="00FE79C2">
        <w:rPr>
          <w:rFonts w:asciiTheme="minorHAnsi" w:hAnsiTheme="minorHAnsi" w:cstheme="minorHAnsi"/>
          <w:u w:val="single"/>
        </w:rPr>
        <w:t>IDE</w:t>
      </w:r>
      <w:r w:rsidRPr="0044779E">
        <w:rPr>
          <w:rFonts w:asciiTheme="minorHAnsi" w:hAnsiTheme="minorHAnsi" w:cstheme="minorHAnsi"/>
          <w:u w:val="single"/>
        </w:rPr>
        <w:t xml:space="preserve"> comment</w:t>
      </w:r>
      <w:r w:rsidRPr="0044779E">
        <w:rPr>
          <w:rFonts w:asciiTheme="minorHAnsi" w:hAnsiTheme="minorHAnsi" w:cstheme="minorHAnsi"/>
        </w:rPr>
        <w:t>.  One mvule specimen in Ibadan was recorded with a dbh of 3.82m which is exceptional and indicates a longevity of hundreds of years).</w:t>
      </w:r>
    </w:p>
    <w:p w14:paraId="0EFD0122" w14:textId="772E67BE" w:rsidR="0039350C" w:rsidRPr="008E3710" w:rsidRDefault="0039350C" w:rsidP="0039350C">
      <w:pPr>
        <w:pStyle w:val="NormalWeb"/>
        <w:numPr>
          <w:ilvl w:val="0"/>
          <w:numId w:val="30"/>
        </w:numPr>
        <w:shd w:val="clear" w:color="auto" w:fill="FFFFFF"/>
        <w:rPr>
          <w:rFonts w:asciiTheme="minorHAnsi" w:hAnsiTheme="minorHAnsi" w:cstheme="minorHAnsi"/>
        </w:rPr>
      </w:pPr>
      <w:r w:rsidRPr="008E3710">
        <w:rPr>
          <w:rFonts w:asciiTheme="minorHAnsi" w:hAnsiTheme="minorHAnsi" w:cstheme="minorHAnsi"/>
          <w:b/>
          <w:bCs/>
          <w:color w:val="303030"/>
          <w:shd w:val="clear" w:color="auto" w:fill="FFFFFF"/>
          <w:lang w:eastAsia="en-GB"/>
        </w:rPr>
        <w:t>Sinacore, K. et al. (2017) Unearthing the hidden world of roots: Root biomass and architecture differ among species within the same guild.</w:t>
      </w:r>
      <w:r w:rsidRPr="008E3710">
        <w:rPr>
          <w:rFonts w:asciiTheme="minorHAnsi" w:hAnsiTheme="minorHAnsi" w:cstheme="minorHAnsi"/>
          <w:color w:val="303030"/>
          <w:shd w:val="clear" w:color="auto" w:fill="FFFFFF"/>
          <w:lang w:eastAsia="en-GB"/>
        </w:rPr>
        <w:t> </w:t>
      </w:r>
      <w:r w:rsidRPr="00044907">
        <w:rPr>
          <w:rFonts w:asciiTheme="minorHAnsi" w:hAnsiTheme="minorHAnsi" w:cstheme="minorHAnsi"/>
          <w:b/>
          <w:bCs/>
          <w:color w:val="303030"/>
          <w:u w:val="single"/>
          <w:lang w:eastAsia="en-GB"/>
        </w:rPr>
        <w:t>PloS one</w:t>
      </w:r>
      <w:r w:rsidRPr="008E3710">
        <w:rPr>
          <w:rFonts w:asciiTheme="minorHAnsi" w:hAnsiTheme="minorHAnsi" w:cstheme="minorHAnsi"/>
          <w:color w:val="303030"/>
          <w:shd w:val="clear" w:color="auto" w:fill="FFFFFF"/>
          <w:lang w:eastAsia="en-GB"/>
        </w:rPr>
        <w:t> vol. 12,10 e0185934. 12 Oct. 2017, doi:10.1371/journal.pone.0185934.  Species differences in foliar biomass ranged from 6-14% of total tree biomass; branch biomass allocation ranged from 27-40%; stem biomass ranged from 20-41%.  An average of 26.7% of total biomass was allocated to roots (excluding fine roots).  Ref. is made to other studies (eg. Vogt et al – see below) which suggest fine roots can account for a significant amount of total biomass: 8%, 1-2% and 7-14% of total biomass for broadleaf deciduous, broadleaf semi-deciduous and broadleaf evergreen tropical trees.  See Fig 4 below for biomass fraction with tree components</w:t>
      </w:r>
      <w:r w:rsidRPr="008E3710">
        <w:rPr>
          <w:rFonts w:asciiTheme="minorHAnsi" w:hAnsiTheme="minorHAnsi" w:cstheme="minorHAnsi"/>
        </w:rPr>
        <w:t xml:space="preserve">.  </w:t>
      </w:r>
    </w:p>
    <w:p w14:paraId="3BFA5E36" w14:textId="0C057FC0" w:rsidR="0039350C" w:rsidRDefault="0039350C" w:rsidP="00432D9A">
      <w:pPr>
        <w:pStyle w:val="NormalWeb"/>
        <w:shd w:val="clear" w:color="auto" w:fill="FFFFFF"/>
        <w:spacing w:line="192" w:lineRule="auto"/>
        <w:ind w:left="709" w:firstLine="425"/>
        <w:jc w:val="both"/>
        <w:rPr>
          <w:rFonts w:asciiTheme="minorHAnsi" w:hAnsiTheme="minorHAnsi" w:cstheme="minorHAnsi"/>
        </w:rPr>
      </w:pPr>
      <w:r>
        <w:rPr>
          <w:rFonts w:asciiTheme="minorHAnsi" w:hAnsiTheme="minorHAnsi" w:cstheme="minorHAnsi"/>
          <w:noProof/>
        </w:rPr>
        <w:drawing>
          <wp:inline distT="0" distB="0" distL="0" distR="0" wp14:anchorId="4A02A5F7" wp14:editId="5C6FE942">
            <wp:extent cx="4543440" cy="36957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5  as JPE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6790" cy="3714693"/>
                    </a:xfrm>
                    <a:prstGeom prst="rect">
                      <a:avLst/>
                    </a:prstGeom>
                  </pic:spPr>
                </pic:pic>
              </a:graphicData>
            </a:graphic>
          </wp:inline>
        </w:drawing>
      </w:r>
    </w:p>
    <w:p w14:paraId="7DB8F9BE" w14:textId="5DD2E49B" w:rsidR="0039350C" w:rsidRPr="008E3710" w:rsidRDefault="0039350C" w:rsidP="008E3710">
      <w:pPr>
        <w:pStyle w:val="NormalWeb"/>
        <w:numPr>
          <w:ilvl w:val="0"/>
          <w:numId w:val="30"/>
        </w:numPr>
        <w:rPr>
          <w:rFonts w:asciiTheme="minorHAnsi" w:hAnsiTheme="minorHAnsi" w:cstheme="minorHAnsi"/>
          <w:color w:val="000000"/>
          <w:lang w:eastAsia="en-GB"/>
        </w:rPr>
      </w:pPr>
      <w:r w:rsidRPr="008E3710">
        <w:rPr>
          <w:rFonts w:asciiTheme="minorHAnsi" w:hAnsiTheme="minorHAnsi" w:cstheme="minorHAnsi"/>
          <w:b/>
          <w:bCs/>
          <w:color w:val="000000"/>
          <w:lang w:eastAsia="en-GB"/>
        </w:rPr>
        <w:lastRenderedPageBreak/>
        <w:t xml:space="preserve">Waring BG, Powers JS. </w:t>
      </w:r>
      <w:r w:rsidR="004A3CF4">
        <w:rPr>
          <w:rFonts w:asciiTheme="minorHAnsi" w:hAnsiTheme="minorHAnsi" w:cstheme="minorHAnsi"/>
          <w:b/>
          <w:bCs/>
          <w:color w:val="000000"/>
          <w:lang w:eastAsia="en-GB"/>
        </w:rPr>
        <w:t>(</w:t>
      </w:r>
      <w:r w:rsidRPr="008E3710">
        <w:rPr>
          <w:rFonts w:asciiTheme="minorHAnsi" w:hAnsiTheme="minorHAnsi" w:cstheme="minorHAnsi"/>
          <w:b/>
          <w:bCs/>
          <w:color w:val="000000"/>
          <w:lang w:eastAsia="en-GB"/>
        </w:rPr>
        <w:t>2017</w:t>
      </w:r>
      <w:r w:rsidR="004A3CF4">
        <w:rPr>
          <w:rFonts w:asciiTheme="minorHAnsi" w:hAnsiTheme="minorHAnsi" w:cstheme="minorHAnsi"/>
          <w:b/>
          <w:bCs/>
          <w:color w:val="000000"/>
          <w:lang w:eastAsia="en-GB"/>
        </w:rPr>
        <w:t>)</w:t>
      </w:r>
      <w:r w:rsidRPr="008E3710">
        <w:rPr>
          <w:rFonts w:asciiTheme="minorHAnsi" w:hAnsiTheme="minorHAnsi" w:cstheme="minorHAnsi"/>
          <w:b/>
          <w:bCs/>
          <w:color w:val="000000"/>
          <w:lang w:eastAsia="en-GB"/>
        </w:rPr>
        <w:t>. Overlooking what is underground: root:shoot ratios and coarse root allometric equations for tropical forests.</w:t>
      </w:r>
      <w:r w:rsidRPr="008E3710">
        <w:rPr>
          <w:rFonts w:asciiTheme="minorHAnsi" w:hAnsiTheme="minorHAnsi" w:cstheme="minorHAnsi"/>
          <w:color w:val="000000"/>
          <w:lang w:eastAsia="en-GB"/>
        </w:rPr>
        <w:t xml:space="preserve"> </w:t>
      </w:r>
      <w:r w:rsidRPr="00044907">
        <w:rPr>
          <w:rFonts w:asciiTheme="minorHAnsi" w:hAnsiTheme="minorHAnsi" w:cstheme="minorHAnsi"/>
          <w:b/>
          <w:bCs/>
          <w:color w:val="000000"/>
          <w:u w:val="single"/>
          <w:lang w:eastAsia="en-GB"/>
        </w:rPr>
        <w:t>Forest Ecology and Management</w:t>
      </w:r>
      <w:r w:rsidRPr="00044907">
        <w:rPr>
          <w:rFonts w:asciiTheme="minorHAnsi" w:hAnsiTheme="minorHAnsi" w:cstheme="minorHAnsi"/>
          <w:b/>
          <w:bCs/>
          <w:color w:val="000000"/>
          <w:lang w:eastAsia="en-GB"/>
        </w:rPr>
        <w:t xml:space="preserve"> </w:t>
      </w:r>
      <w:r w:rsidRPr="008E3710">
        <w:rPr>
          <w:rFonts w:asciiTheme="minorHAnsi" w:hAnsiTheme="minorHAnsi" w:cstheme="minorHAnsi"/>
          <w:color w:val="000000"/>
          <w:lang w:eastAsia="en-GB"/>
        </w:rPr>
        <w:t>385</w:t>
      </w:r>
      <w:r w:rsidRPr="00044907">
        <w:rPr>
          <w:rFonts w:asciiTheme="minorHAnsi" w:hAnsiTheme="minorHAnsi" w:cstheme="minorHAnsi"/>
          <w:b/>
          <w:bCs/>
          <w:color w:val="000000"/>
          <w:lang w:eastAsia="en-GB"/>
        </w:rPr>
        <w:t>: 10-15. DOI: 10.1016/j.foreco.2015.11.007</w:t>
      </w:r>
      <w:r w:rsidRPr="008E3710">
        <w:rPr>
          <w:rFonts w:asciiTheme="minorHAnsi" w:hAnsiTheme="minorHAnsi" w:cstheme="minorHAnsi"/>
          <w:color w:val="000000"/>
          <w:lang w:eastAsia="en-GB"/>
        </w:rPr>
        <w:t>. Details the efforts to determine the ratio between BGB of coarse roots to the AGB of leaves, branches and stems (shoots). Considerable range in R:S ratios with average of 0.53, concluding that BGB of coarse root stocks in tropical forests can exceed AGB, with older trees generally having higher R:S ratios.</w:t>
      </w:r>
      <w:r w:rsidRPr="008E3710">
        <w:rPr>
          <w:rFonts w:asciiTheme="minorHAnsi" w:hAnsiTheme="minorHAnsi" w:cstheme="minorHAnsi"/>
        </w:rPr>
        <w:t xml:space="preserve">                                                                                                            </w:t>
      </w:r>
    </w:p>
    <w:p w14:paraId="4630E9FE" w14:textId="7E9D8A07" w:rsidR="0039350C" w:rsidRPr="0091445C" w:rsidRDefault="0039350C" w:rsidP="0091445C">
      <w:pPr>
        <w:pStyle w:val="NormalWeb"/>
        <w:numPr>
          <w:ilvl w:val="0"/>
          <w:numId w:val="30"/>
        </w:numPr>
        <w:shd w:val="clear" w:color="auto" w:fill="FFFFFF"/>
        <w:rPr>
          <w:rFonts w:asciiTheme="minorHAnsi" w:hAnsiTheme="minorHAnsi" w:cstheme="minorHAnsi"/>
        </w:rPr>
      </w:pPr>
      <w:r w:rsidRPr="008E3710">
        <w:rPr>
          <w:rFonts w:asciiTheme="minorHAnsi" w:hAnsiTheme="minorHAnsi" w:cstheme="minorHAnsi"/>
          <w:b/>
          <w:bCs/>
          <w:lang w:val="da-DK"/>
        </w:rPr>
        <w:t>Vogt, Kristiina A. et al (1996).</w:t>
      </w:r>
      <w:r w:rsidRPr="008E3710">
        <w:rPr>
          <w:rFonts w:asciiTheme="minorHAnsi" w:hAnsiTheme="minorHAnsi" w:cstheme="minorHAnsi"/>
          <w:lang w:val="da-DK"/>
        </w:rPr>
        <w:t xml:space="preserve"> </w:t>
      </w:r>
      <w:r w:rsidRPr="008E3710">
        <w:rPr>
          <w:rFonts w:asciiTheme="minorHAnsi" w:hAnsiTheme="minorHAnsi" w:cstheme="minorHAnsi"/>
          <w:b/>
          <w:bCs/>
        </w:rPr>
        <w:t>Review of root dynamics in forest ecosystems by climate, climatic forest types and species</w:t>
      </w:r>
      <w:r w:rsidRPr="008E3710">
        <w:rPr>
          <w:rFonts w:asciiTheme="minorHAnsi" w:hAnsiTheme="minorHAnsi" w:cstheme="minorHAnsi"/>
        </w:rPr>
        <w:t xml:space="preserve">. </w:t>
      </w:r>
      <w:r w:rsidRPr="00044907">
        <w:rPr>
          <w:rFonts w:asciiTheme="minorHAnsi" w:hAnsiTheme="minorHAnsi" w:cstheme="minorHAnsi"/>
          <w:b/>
          <w:bCs/>
          <w:u w:val="single"/>
        </w:rPr>
        <w:t>Plant and Soil</w:t>
      </w:r>
      <w:r w:rsidRPr="00044907">
        <w:rPr>
          <w:rFonts w:asciiTheme="minorHAnsi" w:hAnsiTheme="minorHAnsi" w:cstheme="minorHAnsi"/>
          <w:b/>
          <w:bCs/>
        </w:rPr>
        <w:t xml:space="preserve"> 187: 159-219</w:t>
      </w:r>
      <w:r w:rsidRPr="008E3710">
        <w:rPr>
          <w:rFonts w:asciiTheme="minorHAnsi" w:hAnsiTheme="minorHAnsi" w:cstheme="minorHAnsi"/>
        </w:rPr>
        <w:t xml:space="preserve">. Comments on fine roots (dia &lt;2mm) which generally contribute &lt;2% of total biomass (TB).  However, in broadleaf tropical forests fine roots varied from 1-8% of TB and roots from 7-34% of TB. (Table 1). </w:t>
      </w:r>
    </w:p>
    <w:p w14:paraId="5985B2AD" w14:textId="189BF8EC" w:rsidR="000C4271" w:rsidRDefault="000C4271" w:rsidP="00416D04">
      <w:pPr>
        <w:pStyle w:val="ListParagraph"/>
        <w:numPr>
          <w:ilvl w:val="0"/>
          <w:numId w:val="41"/>
        </w:numPr>
        <w:ind w:hanging="720"/>
        <w:jc w:val="both"/>
        <w:rPr>
          <w:b/>
          <w:bCs/>
          <w:sz w:val="28"/>
          <w:szCs w:val="28"/>
        </w:rPr>
      </w:pPr>
      <w:r w:rsidRPr="00416D04">
        <w:rPr>
          <w:b/>
          <w:bCs/>
          <w:sz w:val="28"/>
          <w:szCs w:val="28"/>
        </w:rPr>
        <w:t xml:space="preserve">ABOVE GROUND BIOMASS &amp; STEM ROT </w:t>
      </w:r>
    </w:p>
    <w:p w14:paraId="32A93C18" w14:textId="77777777" w:rsidR="003F1A85" w:rsidRPr="00416D04" w:rsidRDefault="003F1A85" w:rsidP="003F1A85">
      <w:pPr>
        <w:pStyle w:val="ListParagraph"/>
        <w:jc w:val="both"/>
        <w:rPr>
          <w:b/>
          <w:bCs/>
          <w:sz w:val="28"/>
          <w:szCs w:val="28"/>
        </w:rPr>
      </w:pPr>
    </w:p>
    <w:p w14:paraId="0859C6B7" w14:textId="79129A73" w:rsidR="000C4271" w:rsidRDefault="00705CF2" w:rsidP="00705CF2">
      <w:pPr>
        <w:jc w:val="both"/>
      </w:pPr>
      <w:r>
        <w:t xml:space="preserve">Numerous scientific papers all point to the overestimation of Above Ground Biomass (AGB) (&gt;9%) and therefore efficiency of carbon capture of a wide variety of tree species in a variety of biomes. Stem rot or hollowing is caused by fungal, termite attack and fire. Rotting trees are returning CO2 back to the atmosphere. Some species of trees can be more susceptible. Surveys show % of trees affected by hollowing is considerable eg. 65% (Marra 2019); 66-89% (Royal Society 2014); 54% (Heinnemann 2015).  Hollowing generally increases with age of tree – as measured by the dbh.  (See Fig 5. below from Nogueira 2006), Important to emphasise the </w:t>
      </w:r>
      <w:r w:rsidRPr="00607D11">
        <w:rPr>
          <w:i/>
          <w:iCs/>
        </w:rPr>
        <w:t>Milicia excelsa</w:t>
      </w:r>
      <w:r>
        <w:t xml:space="preserve"> even with dbh &gt; 200cm rarely shows hollowing due to its high resistance to fungal decay and termite attack.  Companion species </w:t>
      </w:r>
      <w:r w:rsidRPr="00607D11">
        <w:rPr>
          <w:i/>
          <w:iCs/>
        </w:rPr>
        <w:t>T.superba</w:t>
      </w:r>
      <w:r>
        <w:t xml:space="preserve"> and </w:t>
      </w:r>
      <w:r w:rsidRPr="00607D11">
        <w:rPr>
          <w:i/>
          <w:iCs/>
        </w:rPr>
        <w:t>M.eminii</w:t>
      </w:r>
      <w:r>
        <w:t xml:space="preserve"> planted under the Mvule Project for Carbon Capture also are relatively free of hollowing).   </w:t>
      </w:r>
    </w:p>
    <w:p w14:paraId="281CEF3C" w14:textId="77777777" w:rsidR="00705CF2" w:rsidRDefault="00705CF2" w:rsidP="00705CF2">
      <w:pPr>
        <w:jc w:val="both"/>
      </w:pPr>
    </w:p>
    <w:p w14:paraId="7B03D8F3" w14:textId="29B4935B" w:rsidR="000C4271" w:rsidRPr="00416D04" w:rsidRDefault="000C4271" w:rsidP="003F1A85">
      <w:pPr>
        <w:pStyle w:val="ListParagraph"/>
        <w:numPr>
          <w:ilvl w:val="0"/>
          <w:numId w:val="42"/>
        </w:numPr>
        <w:tabs>
          <w:tab w:val="left" w:pos="426"/>
        </w:tabs>
        <w:ind w:left="426" w:hanging="426"/>
        <w:jc w:val="both"/>
        <w:rPr>
          <w:rFonts w:cstheme="minorHAnsi"/>
        </w:rPr>
      </w:pPr>
      <w:r w:rsidRPr="00416D04">
        <w:rPr>
          <w:rFonts w:cstheme="minorHAnsi"/>
          <w:b/>
          <w:bCs/>
          <w:lang w:val="fr-FR"/>
        </w:rPr>
        <w:t xml:space="preserve">Marra, Robert E. et al. </w:t>
      </w:r>
      <w:r w:rsidRPr="00416D04">
        <w:rPr>
          <w:rFonts w:cstheme="minorHAnsi"/>
          <w:b/>
          <w:bCs/>
        </w:rPr>
        <w:t>(2019) Tomography: An Innovative Technique for Assessing Forest Carbon Storage</w:t>
      </w:r>
      <w:r w:rsidR="0091445C" w:rsidRPr="00416D04">
        <w:rPr>
          <w:rFonts w:cstheme="minorHAnsi"/>
          <w:u w:val="single"/>
        </w:rPr>
        <w:t>.</w:t>
      </w:r>
      <w:r w:rsidRPr="00416D04">
        <w:rPr>
          <w:rFonts w:cstheme="minorHAnsi"/>
          <w:u w:val="single"/>
        </w:rPr>
        <w:t xml:space="preserve"> </w:t>
      </w:r>
      <w:r w:rsidRPr="00416D04">
        <w:rPr>
          <w:rFonts w:cstheme="minorHAnsi"/>
        </w:rPr>
        <w:t>Earth &amp; Environment, Engineering &amp; Tech.</w:t>
      </w:r>
      <w:r w:rsidR="0091445C" w:rsidRPr="00416D04">
        <w:rPr>
          <w:rFonts w:cstheme="minorHAnsi"/>
        </w:rPr>
        <w:t xml:space="preserve"> </w:t>
      </w:r>
    </w:p>
    <w:p w14:paraId="682E44B4" w14:textId="4C548189" w:rsidR="000C4271" w:rsidRPr="00332ABE" w:rsidRDefault="0091445C" w:rsidP="00432D9A">
      <w:pPr>
        <w:pStyle w:val="ListParagraph"/>
        <w:ind w:left="360"/>
        <w:rPr>
          <w:rFonts w:cstheme="minorHAnsi"/>
        </w:rPr>
      </w:pPr>
      <w:r w:rsidRPr="0091445C">
        <w:rPr>
          <w:rFonts w:cstheme="minorHAnsi"/>
          <w:color w:val="000000"/>
          <w:shd w:val="clear" w:color="auto" w:fill="FFFFFF"/>
        </w:rPr>
        <w:t xml:space="preserve">Tree damage caused by wood-decaying fungi means that forests store less carbon than previously thought. As forests play a vital role in sequestering atmospheric carbon, knowing the extent of </w:t>
      </w:r>
      <w:r>
        <w:rPr>
          <w:rFonts w:cstheme="minorHAnsi"/>
          <w:color w:val="000000"/>
          <w:shd w:val="clear" w:color="auto" w:fill="FFFFFF"/>
        </w:rPr>
        <w:t>hollowing</w:t>
      </w:r>
      <w:r w:rsidRPr="0091445C">
        <w:rPr>
          <w:rFonts w:cstheme="minorHAnsi"/>
          <w:color w:val="000000"/>
          <w:shd w:val="clear" w:color="auto" w:fill="FFFFFF"/>
        </w:rPr>
        <w:t xml:space="preserve"> has important implications in the fight against climate change.</w:t>
      </w:r>
      <w:r>
        <w:rPr>
          <w:rFonts w:cstheme="minorHAnsi"/>
          <w:color w:val="000000"/>
          <w:shd w:val="clear" w:color="auto" w:fill="FFFFFF"/>
        </w:rPr>
        <w:t xml:space="preserve"> </w:t>
      </w:r>
      <w:r w:rsidR="000C4271" w:rsidRPr="0091445C">
        <w:rPr>
          <w:rFonts w:cstheme="minorHAnsi"/>
        </w:rPr>
        <w:t xml:space="preserve">Using </w:t>
      </w:r>
      <w:r w:rsidRPr="0091445C">
        <w:rPr>
          <w:rFonts w:cstheme="minorHAnsi"/>
        </w:rPr>
        <w:t xml:space="preserve">the pioneering </w:t>
      </w:r>
      <w:r w:rsidR="000C4271" w:rsidRPr="0091445C">
        <w:rPr>
          <w:rFonts w:cstheme="minorHAnsi"/>
        </w:rPr>
        <w:t xml:space="preserve">non-invasive sonic </w:t>
      </w:r>
      <w:proofErr w:type="gramStart"/>
      <w:r w:rsidR="000C4271" w:rsidRPr="0091445C">
        <w:rPr>
          <w:rFonts w:cstheme="minorHAnsi"/>
        </w:rPr>
        <w:t>tomography</w:t>
      </w:r>
      <w:proofErr w:type="gramEnd"/>
      <w:r w:rsidR="000C4271" w:rsidRPr="0091445C">
        <w:rPr>
          <w:rFonts w:cstheme="minorHAnsi"/>
        </w:rPr>
        <w:t xml:space="preserve"> a survey of common hardwood trees in USA showed 65% of trees had hollowing with as much as 36.7% of the stem hollow. </w:t>
      </w:r>
    </w:p>
    <w:p w14:paraId="131BCBF6" w14:textId="0EB811C5" w:rsidR="000C4271" w:rsidRPr="00432D9A" w:rsidRDefault="000C4271" w:rsidP="00432D9A">
      <w:pPr>
        <w:pStyle w:val="ListParagraph"/>
        <w:numPr>
          <w:ilvl w:val="0"/>
          <w:numId w:val="42"/>
        </w:numPr>
        <w:ind w:left="426" w:hanging="426"/>
        <w:jc w:val="both"/>
        <w:rPr>
          <w:rFonts w:cstheme="minorHAnsi"/>
        </w:rPr>
      </w:pPr>
      <w:r w:rsidRPr="004A3CF4">
        <w:rPr>
          <w:rFonts w:cstheme="minorHAnsi"/>
          <w:b/>
          <w:bCs/>
        </w:rPr>
        <w:t>Royal Society (2014)</w:t>
      </w:r>
      <w:r w:rsidR="0091445C">
        <w:rPr>
          <w:rFonts w:cstheme="minorHAnsi"/>
        </w:rPr>
        <w:t xml:space="preserve"> </w:t>
      </w:r>
      <w:r w:rsidRPr="0054467E">
        <w:rPr>
          <w:rFonts w:cstheme="minorHAnsi"/>
          <w:b/>
          <w:bCs/>
        </w:rPr>
        <w:t>Why are so many trees hollow?</w:t>
      </w:r>
      <w:r w:rsidRPr="000E440D">
        <w:rPr>
          <w:rFonts w:cstheme="minorHAnsi"/>
        </w:rPr>
        <w:t xml:space="preserve"> </w:t>
      </w:r>
      <w:r w:rsidRPr="0054467E">
        <w:rPr>
          <w:rFonts w:cstheme="minorHAnsi"/>
          <w:u w:val="single"/>
        </w:rPr>
        <w:t>Royal Society Biology Letters</w:t>
      </w:r>
      <w:r w:rsidRPr="000E440D">
        <w:rPr>
          <w:rFonts w:cstheme="minorHAnsi"/>
        </w:rPr>
        <w:t xml:space="preserve">. 1 Nov 2014. </w:t>
      </w:r>
      <w:hyperlink r:id="rId16" w:history="1">
        <w:r w:rsidRPr="000E440D">
          <w:rPr>
            <w:rStyle w:val="Hyperlink"/>
            <w:rFonts w:cstheme="minorHAnsi"/>
          </w:rPr>
          <w:t>https://doi.org/10.1098/rsbl.0555</w:t>
        </w:r>
      </w:hyperlink>
      <w:r w:rsidRPr="000E440D">
        <w:rPr>
          <w:rFonts w:cstheme="minorHAnsi"/>
        </w:rPr>
        <w:t xml:space="preserve">. </w:t>
      </w:r>
      <w:r w:rsidRPr="000E440D">
        <w:rPr>
          <w:rFonts w:ascii="Arial" w:hAnsi="Arial" w:cs="Arial"/>
          <w:color w:val="333132"/>
        </w:rPr>
        <w:t>The paper discusses two hypotheses to explain the widespread extent of hollowing. Surveys of savannah woodland in Australia have found hollow cores (a phenomenon called</w:t>
      </w:r>
      <w:r w:rsidRPr="000E440D">
        <w:rPr>
          <w:rStyle w:val="apple-converted-space"/>
          <w:rFonts w:ascii="Arial" w:hAnsi="Arial" w:cs="Arial"/>
          <w:color w:val="333132"/>
        </w:rPr>
        <w:t> </w:t>
      </w:r>
      <w:r w:rsidRPr="000E440D">
        <w:rPr>
          <w:rFonts w:ascii="Arial" w:hAnsi="Arial" w:cs="Arial"/>
          <w:i/>
          <w:iCs/>
          <w:color w:val="333132"/>
        </w:rPr>
        <w:t>piping</w:t>
      </w:r>
      <w:r w:rsidRPr="000E440D">
        <w:rPr>
          <w:rFonts w:ascii="Arial" w:hAnsi="Arial" w:cs="Arial"/>
          <w:color w:val="333132"/>
        </w:rPr>
        <w:t>) in 66–89% of trees of different species; on average, hollow cores extended to 50% of the total diameter. A study in the Amazonian rainforest found 37% of trees from a broad range of species to be piped.  The paper also mentioned that trees with large lateral branches need a solid stem to compensate for the stress on the trunk and would therefore not be expected to have hollow stems. (IDE comment</w:t>
      </w:r>
      <w:r>
        <w:rPr>
          <w:rFonts w:ascii="Arial" w:hAnsi="Arial" w:cs="Arial"/>
          <w:color w:val="333132"/>
        </w:rPr>
        <w:t>:</w:t>
      </w:r>
      <w:r w:rsidRPr="000E440D">
        <w:rPr>
          <w:rFonts w:ascii="Arial" w:hAnsi="Arial" w:cs="Arial"/>
          <w:color w:val="333132"/>
        </w:rPr>
        <w:t xml:space="preserve"> This is the situation with </w:t>
      </w:r>
      <w:r w:rsidRPr="000E440D">
        <w:rPr>
          <w:rFonts w:ascii="Arial" w:hAnsi="Arial" w:cs="Arial"/>
          <w:i/>
          <w:iCs/>
          <w:color w:val="333132"/>
        </w:rPr>
        <w:t>M.excelsa</w:t>
      </w:r>
      <w:r w:rsidRPr="000E440D">
        <w:rPr>
          <w:rFonts w:ascii="Arial" w:hAnsi="Arial" w:cs="Arial"/>
          <w:color w:val="333132"/>
        </w:rPr>
        <w:t xml:space="preserve"> – a tree with large heavy branches</w:t>
      </w:r>
      <w:r>
        <w:rPr>
          <w:rFonts w:ascii="Arial" w:hAnsi="Arial" w:cs="Arial"/>
          <w:color w:val="333132"/>
        </w:rPr>
        <w:t xml:space="preserve"> which has no hollowing</w:t>
      </w:r>
      <w:r w:rsidR="000457FA">
        <w:rPr>
          <w:rFonts w:ascii="Arial" w:hAnsi="Arial" w:cs="Arial"/>
          <w:color w:val="333132"/>
        </w:rPr>
        <w:t>, although the common oak with relatively large lateral branches does suffer hollowing</w:t>
      </w:r>
      <w:r>
        <w:rPr>
          <w:rFonts w:ascii="Arial" w:hAnsi="Arial" w:cs="Arial"/>
          <w:color w:val="333132"/>
        </w:rPr>
        <w:t xml:space="preserve">). </w:t>
      </w:r>
    </w:p>
    <w:p w14:paraId="2C6C5850" w14:textId="7E98E931" w:rsidR="000C4271" w:rsidRPr="0054467E" w:rsidRDefault="000C4271" w:rsidP="003F1A85">
      <w:pPr>
        <w:pStyle w:val="ListParagraph"/>
        <w:numPr>
          <w:ilvl w:val="0"/>
          <w:numId w:val="42"/>
        </w:numPr>
        <w:ind w:left="426" w:hanging="426"/>
        <w:jc w:val="both"/>
        <w:rPr>
          <w:rFonts w:cstheme="minorHAnsi"/>
        </w:rPr>
      </w:pPr>
      <w:r w:rsidRPr="004A3CF4">
        <w:rPr>
          <w:rFonts w:eastAsia="Times New Roman" w:cstheme="minorHAnsi"/>
          <w:b/>
          <w:bCs/>
          <w:color w:val="0D0D0D" w:themeColor="text1" w:themeTint="F2"/>
          <w:kern w:val="36"/>
          <w:lang w:val="de-DE" w:eastAsia="en-GB"/>
        </w:rPr>
        <w:t xml:space="preserve">Heinemann, K.D. et al. </w:t>
      </w:r>
      <w:r w:rsidRPr="004A3CF4">
        <w:rPr>
          <w:rFonts w:eastAsia="Times New Roman" w:cstheme="minorHAnsi"/>
          <w:b/>
          <w:bCs/>
          <w:color w:val="0D0D0D" w:themeColor="text1" w:themeTint="F2"/>
          <w:kern w:val="36"/>
          <w:lang w:eastAsia="en-GB"/>
        </w:rPr>
        <w:t>(2015)</w:t>
      </w:r>
      <w:r>
        <w:rPr>
          <w:rFonts w:eastAsia="Times New Roman" w:cstheme="minorHAnsi"/>
          <w:b/>
          <w:bCs/>
          <w:color w:val="0D0D0D" w:themeColor="text1" w:themeTint="F2"/>
          <w:kern w:val="36"/>
          <w:lang w:eastAsia="en-GB"/>
        </w:rPr>
        <w:t xml:space="preserve"> </w:t>
      </w:r>
      <w:r w:rsidRPr="0054467E">
        <w:rPr>
          <w:rFonts w:eastAsia="Times New Roman" w:cstheme="minorHAnsi"/>
          <w:b/>
          <w:bCs/>
          <w:color w:val="0D0D0D" w:themeColor="text1" w:themeTint="F2"/>
          <w:kern w:val="36"/>
          <w:lang w:eastAsia="en-GB"/>
        </w:rPr>
        <w:t>Evaluation of stem rot in 339 Bornean tree species: implications of size, taxonomy, and soil-related variation for aboveground biomass estimates.</w:t>
      </w:r>
      <w:r w:rsidRPr="0054467E">
        <w:rPr>
          <w:rFonts w:eastAsia="Times New Roman" w:cstheme="minorHAnsi"/>
          <w:color w:val="0D0D0D" w:themeColor="text1" w:themeTint="F2"/>
          <w:kern w:val="36"/>
          <w:lang w:eastAsia="en-GB"/>
        </w:rPr>
        <w:t xml:space="preserve"> </w:t>
      </w:r>
      <w:r w:rsidRPr="0054467E">
        <w:rPr>
          <w:rFonts w:eastAsia="Times New Roman" w:cstheme="minorHAnsi"/>
          <w:color w:val="0D0D0D" w:themeColor="text1" w:themeTint="F2"/>
          <w:u w:val="single"/>
          <w:shd w:val="clear" w:color="auto" w:fill="FFFFFF"/>
          <w:lang w:eastAsia="en-GB"/>
        </w:rPr>
        <w:t>Biogeosciences</w:t>
      </w:r>
      <w:r w:rsidRPr="0054467E">
        <w:rPr>
          <w:rFonts w:eastAsia="Times New Roman" w:cstheme="minorHAnsi"/>
          <w:color w:val="0D0D0D" w:themeColor="text1" w:themeTint="F2"/>
          <w:shd w:val="clear" w:color="auto" w:fill="FFFFFF"/>
          <w:lang w:eastAsia="en-GB"/>
        </w:rPr>
        <w:t xml:space="preserve">, </w:t>
      </w:r>
      <w:r>
        <w:rPr>
          <w:rFonts w:eastAsia="Times New Roman" w:cstheme="minorHAnsi"/>
          <w:color w:val="0D0D0D" w:themeColor="text1" w:themeTint="F2"/>
          <w:shd w:val="clear" w:color="auto" w:fill="FFFFFF"/>
          <w:lang w:eastAsia="en-GB"/>
        </w:rPr>
        <w:t xml:space="preserve">8 Oct. 2015, </w:t>
      </w:r>
      <w:r w:rsidRPr="0054467E">
        <w:rPr>
          <w:rFonts w:eastAsia="Times New Roman" w:cstheme="minorHAnsi"/>
          <w:color w:val="0D0D0D" w:themeColor="text1" w:themeTint="F2"/>
          <w:shd w:val="clear" w:color="auto" w:fill="FFFFFF"/>
          <w:lang w:eastAsia="en-GB"/>
        </w:rPr>
        <w:t>12, 5735–5751, 2015</w:t>
      </w:r>
      <w:r w:rsidRPr="0054467E">
        <w:rPr>
          <w:rFonts w:eastAsia="Times New Roman" w:cstheme="minorHAnsi"/>
          <w:color w:val="0D0D0D" w:themeColor="text1" w:themeTint="F2"/>
          <w:lang w:eastAsia="en-GB"/>
        </w:rPr>
        <w:t xml:space="preserve">   </w:t>
      </w:r>
      <w:hyperlink r:id="rId17" w:history="1">
        <w:r w:rsidRPr="00E62E36">
          <w:rPr>
            <w:rStyle w:val="Hyperlink"/>
            <w:rFonts w:eastAsia="Times New Roman" w:cstheme="minorHAnsi"/>
            <w:shd w:val="clear" w:color="auto" w:fill="FFFFFF"/>
            <w:lang w:eastAsia="en-GB"/>
          </w:rPr>
          <w:t>https://doi.org/10.5194/bg-12-5735-2015</w:t>
        </w:r>
      </w:hyperlink>
      <w:r>
        <w:rPr>
          <w:rFonts w:eastAsia="Times New Roman" w:cstheme="minorHAnsi"/>
          <w:color w:val="0D0D0D" w:themeColor="text1" w:themeTint="F2"/>
          <w:shd w:val="clear" w:color="auto" w:fill="FFFFFF"/>
          <w:lang w:eastAsia="en-GB"/>
        </w:rPr>
        <w:t xml:space="preserve"> </w:t>
      </w:r>
      <w:r w:rsidRPr="0054467E">
        <w:rPr>
          <w:rFonts w:eastAsia="Times New Roman" w:cstheme="minorHAnsi"/>
          <w:color w:val="0D0D0D" w:themeColor="text1" w:themeTint="F2"/>
          <w:kern w:val="36"/>
          <w:lang w:eastAsia="en-GB"/>
        </w:rPr>
        <w:t xml:space="preserve">Survey of stem rot of sample of 3180 trees of 339 species in Borneo showed that on average AGB was reduced by 7% on account of stem rot.  % of stem rot increased with DBH but not necessarily severity.  13% of sample had stem rot at 10-30cm DBH and 54% at &gt;50cm DBH. </w:t>
      </w:r>
    </w:p>
    <w:p w14:paraId="5384B487" w14:textId="77777777" w:rsidR="000C4271" w:rsidRPr="0054467E" w:rsidRDefault="000C4271" w:rsidP="003F1A85">
      <w:pPr>
        <w:ind w:left="426" w:hanging="426"/>
        <w:jc w:val="both"/>
        <w:rPr>
          <w:rFonts w:cstheme="minorHAnsi"/>
        </w:rPr>
      </w:pPr>
    </w:p>
    <w:p w14:paraId="33A9AE5F" w14:textId="06FD2635" w:rsidR="004720DE" w:rsidRPr="00432D9A" w:rsidRDefault="000C4271" w:rsidP="00432D9A">
      <w:pPr>
        <w:pStyle w:val="NormalWeb"/>
        <w:numPr>
          <w:ilvl w:val="0"/>
          <w:numId w:val="42"/>
        </w:numPr>
        <w:tabs>
          <w:tab w:val="left" w:pos="426"/>
          <w:tab w:val="left" w:pos="567"/>
        </w:tabs>
        <w:spacing w:before="0" w:beforeAutospacing="0" w:after="0" w:afterAutospacing="0"/>
        <w:ind w:left="426" w:hanging="426"/>
        <w:jc w:val="both"/>
        <w:rPr>
          <w:rStyle w:val="title-text"/>
          <w:rFonts w:cstheme="minorHAnsi"/>
          <w:kern w:val="36"/>
        </w:rPr>
      </w:pPr>
      <w:r w:rsidRPr="004A3CF4">
        <w:rPr>
          <w:rFonts w:cstheme="minorHAnsi"/>
          <w:b/>
          <w:bCs/>
          <w:kern w:val="36"/>
        </w:rPr>
        <w:lastRenderedPageBreak/>
        <w:t>Brigitte, Aya et al. (2014)</w:t>
      </w:r>
      <w:r w:rsidR="004A3CF4" w:rsidRPr="00416D04">
        <w:rPr>
          <w:rFonts w:cstheme="minorHAnsi"/>
          <w:b/>
          <w:bCs/>
          <w:kern w:val="36"/>
        </w:rPr>
        <w:t>.</w:t>
      </w:r>
      <w:r w:rsidR="00416D04" w:rsidRPr="00416D04">
        <w:rPr>
          <w:rFonts w:cstheme="minorHAnsi"/>
          <w:b/>
          <w:bCs/>
          <w:kern w:val="36"/>
        </w:rPr>
        <w:t xml:space="preserve"> </w:t>
      </w:r>
      <w:r w:rsidRPr="004720DE">
        <w:rPr>
          <w:rFonts w:cstheme="minorHAnsi"/>
          <w:b/>
          <w:bCs/>
          <w:kern w:val="36"/>
        </w:rPr>
        <w:t>The dynamics of hollowing in annually burnt savanna trees and its effect on adult tree mortality</w:t>
      </w:r>
      <w:r w:rsidRPr="004720DE">
        <w:rPr>
          <w:rFonts w:cstheme="minorHAnsi"/>
          <w:kern w:val="36"/>
        </w:rPr>
        <w:t xml:space="preserve">.  </w:t>
      </w:r>
      <w:r w:rsidRPr="004720DE">
        <w:rPr>
          <w:rFonts w:cstheme="minorHAnsi"/>
          <w:kern w:val="36"/>
          <w:u w:val="single"/>
        </w:rPr>
        <w:t>Plant Ecology</w:t>
      </w:r>
      <w:r w:rsidRPr="004720DE">
        <w:rPr>
          <w:rFonts w:cstheme="minorHAnsi"/>
          <w:kern w:val="36"/>
        </w:rPr>
        <w:t>. Jan. 2014 v.215</w:t>
      </w:r>
      <w:r w:rsidR="00416D04" w:rsidRPr="004720DE">
        <w:rPr>
          <w:rFonts w:cstheme="minorHAnsi"/>
          <w:kern w:val="36"/>
        </w:rPr>
        <w:t>, Issue</w:t>
      </w:r>
      <w:r w:rsidRPr="004720DE">
        <w:rPr>
          <w:rFonts w:cstheme="minorHAnsi"/>
          <w:kern w:val="36"/>
        </w:rPr>
        <w:t xml:space="preserve"> 1, pp.27-37.  </w:t>
      </w:r>
      <w:r w:rsidRPr="004720DE">
        <w:rPr>
          <w:rFonts w:asciiTheme="minorHAnsi" w:hAnsiTheme="minorHAnsi" w:cstheme="minorHAnsi"/>
          <w:b/>
          <w:bCs/>
          <w:kern w:val="36"/>
          <w:u w:val="single"/>
        </w:rPr>
        <w:t>Findings:</w:t>
      </w:r>
      <w:r w:rsidRPr="004720DE">
        <w:rPr>
          <w:rFonts w:asciiTheme="minorHAnsi" w:hAnsiTheme="minorHAnsi" w:cstheme="minorHAnsi"/>
          <w:kern w:val="36"/>
        </w:rPr>
        <w:t xml:space="preserve">  </w:t>
      </w:r>
      <w:r w:rsidRPr="004720DE">
        <w:rPr>
          <w:rFonts w:asciiTheme="minorHAnsi" w:hAnsiTheme="minorHAnsi" w:cstheme="minorHAnsi"/>
          <w:spacing w:val="2"/>
          <w:shd w:val="clear" w:color="auto" w:fill="FCFCFC"/>
        </w:rPr>
        <w:t>For species resistant to hollowing, tree mortality was rare; alternatively, for species prone to hollowing, whole trees died quickly and before the most severe hollow classes could be observed.</w:t>
      </w:r>
    </w:p>
    <w:p w14:paraId="48D4FCBA" w14:textId="091083D7" w:rsidR="00705CF2" w:rsidRPr="004720DE" w:rsidRDefault="00705CF2" w:rsidP="003F1A85">
      <w:pPr>
        <w:pStyle w:val="NormalWeb"/>
        <w:numPr>
          <w:ilvl w:val="0"/>
          <w:numId w:val="42"/>
        </w:numPr>
        <w:spacing w:before="0" w:beforeAutospacing="0" w:after="0" w:afterAutospacing="0"/>
        <w:ind w:left="426" w:hanging="426"/>
        <w:jc w:val="both"/>
        <w:rPr>
          <w:rFonts w:asciiTheme="minorHAnsi" w:hAnsiTheme="minorHAnsi" w:cstheme="minorHAnsi"/>
          <w:kern w:val="36"/>
        </w:rPr>
      </w:pPr>
      <w:r w:rsidRPr="004A3CF4">
        <w:rPr>
          <w:rStyle w:val="title-text"/>
          <w:rFonts w:asciiTheme="minorHAnsi" w:hAnsiTheme="minorHAnsi" w:cstheme="minorHAnsi"/>
          <w:b/>
          <w:bCs/>
        </w:rPr>
        <w:t>Nogueira, Euler Melo et al. (2006).</w:t>
      </w:r>
      <w:r w:rsidRPr="004720DE">
        <w:rPr>
          <w:rStyle w:val="title-text"/>
          <w:rFonts w:asciiTheme="minorHAnsi" w:hAnsiTheme="minorHAnsi" w:cstheme="minorHAnsi"/>
        </w:rPr>
        <w:t xml:space="preserve"> </w:t>
      </w:r>
      <w:r w:rsidRPr="004720DE">
        <w:rPr>
          <w:rStyle w:val="title-text"/>
          <w:rFonts w:asciiTheme="minorHAnsi" w:hAnsiTheme="minorHAnsi" w:cstheme="minorHAnsi"/>
          <w:b/>
          <w:bCs/>
        </w:rPr>
        <w:t>Volume and biomass of trees in central Amazonia: influence of irregularly shaped and hollow trunks</w:t>
      </w:r>
      <w:r w:rsidRPr="004720DE">
        <w:rPr>
          <w:rStyle w:val="title-text"/>
          <w:rFonts w:asciiTheme="minorHAnsi" w:hAnsiTheme="minorHAnsi" w:cstheme="minorHAnsi"/>
        </w:rPr>
        <w:t>.</w:t>
      </w:r>
      <w:bookmarkStart w:id="0" w:name="baep-author-id10"/>
      <w:r w:rsidRPr="004720DE">
        <w:rPr>
          <w:rStyle w:val="title-text"/>
          <w:rFonts w:asciiTheme="minorHAnsi" w:hAnsiTheme="minorHAnsi" w:cstheme="minorHAnsi"/>
        </w:rPr>
        <w:t xml:space="preserve"> </w:t>
      </w:r>
      <w:bookmarkEnd w:id="0"/>
      <w:r w:rsidRPr="004720DE">
        <w:rPr>
          <w:rFonts w:asciiTheme="minorHAnsi" w:hAnsiTheme="minorHAnsi" w:cstheme="minorHAnsi"/>
          <w:sz w:val="21"/>
          <w:szCs w:val="21"/>
          <w:u w:val="single"/>
          <w:lang w:eastAsia="en-GB"/>
        </w:rPr>
        <w:t>Forest Ecology &amp; Management.</w:t>
      </w:r>
      <w:r w:rsidRPr="004720DE">
        <w:rPr>
          <w:rFonts w:asciiTheme="minorHAnsi" w:hAnsiTheme="minorHAnsi" w:cstheme="minorHAnsi"/>
          <w:sz w:val="21"/>
          <w:szCs w:val="21"/>
          <w:lang w:eastAsia="en-GB"/>
        </w:rPr>
        <w:t xml:space="preserve"> v. 227, issues 1-2, 15 May 2006 pp. 14-21. </w:t>
      </w:r>
      <w:hyperlink r:id="rId18" w:history="1">
        <w:r w:rsidRPr="004720DE">
          <w:rPr>
            <w:rStyle w:val="Hyperlink"/>
            <w:rFonts w:asciiTheme="minorHAnsi" w:hAnsiTheme="minorHAnsi" w:cstheme="minorHAnsi"/>
            <w:color w:val="auto"/>
            <w:sz w:val="21"/>
            <w:szCs w:val="21"/>
            <w:lang w:eastAsia="en-GB"/>
          </w:rPr>
          <w:t>https://doi:10:1016/j.foreco.2006.02.004</w:t>
        </w:r>
      </w:hyperlink>
      <w:r w:rsidRPr="004720DE">
        <w:rPr>
          <w:rFonts w:asciiTheme="minorHAnsi" w:hAnsiTheme="minorHAnsi" w:cstheme="minorHAnsi"/>
          <w:sz w:val="21"/>
          <w:szCs w:val="21"/>
          <w:lang w:eastAsia="en-GB"/>
        </w:rPr>
        <w:t xml:space="preserve">   </w:t>
      </w:r>
      <w:r w:rsidRPr="004720DE">
        <w:rPr>
          <w:rFonts w:asciiTheme="minorHAnsi" w:hAnsiTheme="minorHAnsi" w:cstheme="minorHAnsi"/>
          <w:sz w:val="21"/>
          <w:szCs w:val="21"/>
          <w:u w:val="single"/>
          <w:lang w:eastAsia="en-GB"/>
        </w:rPr>
        <w:t>Findings:</w:t>
      </w:r>
      <w:r w:rsidRPr="004720DE">
        <w:rPr>
          <w:rFonts w:asciiTheme="minorHAnsi" w:hAnsiTheme="minorHAnsi" w:cstheme="minorHAnsi"/>
          <w:sz w:val="27"/>
          <w:szCs w:val="27"/>
        </w:rPr>
        <w:t xml:space="preserve"> </w:t>
      </w:r>
      <w:r w:rsidRPr="004720DE">
        <w:rPr>
          <w:rFonts w:asciiTheme="minorHAnsi" w:hAnsiTheme="minorHAnsi" w:cstheme="minorHAnsi"/>
          <w:lang w:eastAsia="en-GB"/>
        </w:rPr>
        <w:t xml:space="preserve">From survey of large number of trees in Amazonia sampled in each class based on the diameter distribution of a large inventory. For large trees (DBH ≥50 cm) total basal area was overestimated by 30%. (IDE comment: </w:t>
      </w:r>
      <w:r w:rsidRPr="004720DE">
        <w:rPr>
          <w:rFonts w:asciiTheme="minorHAnsi" w:hAnsiTheme="minorHAnsi" w:cstheme="minorHAnsi"/>
          <w:i/>
          <w:iCs/>
          <w:lang w:eastAsia="en-GB"/>
        </w:rPr>
        <w:t>M.excelsa</w:t>
      </w:r>
      <w:r w:rsidRPr="004720DE">
        <w:rPr>
          <w:rFonts w:asciiTheme="minorHAnsi" w:hAnsiTheme="minorHAnsi" w:cstheme="minorHAnsi"/>
          <w:lang w:eastAsia="en-GB"/>
        </w:rPr>
        <w:t xml:space="preserve"> has a straight bole with little or no buttressing- so basal overestimation would be at a minimum for this species of tree. Note too, the table below (Fig.5) which shows how most species as the get older (greater dbh), have substantially increased % of hollowing.</w:t>
      </w:r>
    </w:p>
    <w:p w14:paraId="3EBEAB50" w14:textId="4FA09724" w:rsidR="00705CF2" w:rsidRPr="00030EBD" w:rsidRDefault="00705CF2" w:rsidP="00705CF2">
      <w:pPr>
        <w:jc w:val="both"/>
      </w:pPr>
      <w:r>
        <w:rPr>
          <w:noProof/>
        </w:rPr>
        <w:drawing>
          <wp:inline distT="0" distB="0" distL="0" distR="0" wp14:anchorId="5ED331BE" wp14:editId="70C58BE4">
            <wp:extent cx="5727700" cy="4051935"/>
            <wp:effectExtent l="0" t="0" r="635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Hollow trees by dia clas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4051935"/>
                    </a:xfrm>
                    <a:prstGeom prst="rect">
                      <a:avLst/>
                    </a:prstGeom>
                  </pic:spPr>
                </pic:pic>
              </a:graphicData>
            </a:graphic>
          </wp:inline>
        </w:drawing>
      </w:r>
    </w:p>
    <w:p w14:paraId="6387ABD4" w14:textId="287CC2EF" w:rsidR="000C4271" w:rsidRPr="003F1A85" w:rsidRDefault="00750337" w:rsidP="007821B9">
      <w:pPr>
        <w:pStyle w:val="NormalWeb"/>
        <w:numPr>
          <w:ilvl w:val="0"/>
          <w:numId w:val="41"/>
        </w:numPr>
        <w:shd w:val="clear" w:color="auto" w:fill="FFFFFF"/>
        <w:spacing w:line="192" w:lineRule="auto"/>
        <w:jc w:val="both"/>
        <w:rPr>
          <w:rFonts w:asciiTheme="minorHAnsi" w:hAnsiTheme="minorHAnsi" w:cstheme="minorHAnsi"/>
          <w:b/>
          <w:bCs/>
          <w:sz w:val="28"/>
          <w:szCs w:val="28"/>
        </w:rPr>
      </w:pPr>
      <w:r w:rsidRPr="003F1A85">
        <w:rPr>
          <w:rFonts w:asciiTheme="minorHAnsi" w:hAnsiTheme="minorHAnsi" w:cstheme="minorHAnsi"/>
          <w:b/>
          <w:bCs/>
          <w:sz w:val="28"/>
          <w:szCs w:val="28"/>
        </w:rPr>
        <w:t>SCIE</w:t>
      </w:r>
      <w:r w:rsidR="00D46A0B" w:rsidRPr="003F1A85">
        <w:rPr>
          <w:rFonts w:asciiTheme="minorHAnsi" w:hAnsiTheme="minorHAnsi" w:cstheme="minorHAnsi"/>
          <w:b/>
          <w:bCs/>
          <w:sz w:val="28"/>
          <w:szCs w:val="28"/>
        </w:rPr>
        <w:t xml:space="preserve">NTIFIC PAPERS </w:t>
      </w:r>
      <w:r w:rsidRPr="003F1A85">
        <w:rPr>
          <w:rFonts w:asciiTheme="minorHAnsi" w:hAnsiTheme="minorHAnsi" w:cstheme="minorHAnsi"/>
          <w:b/>
          <w:bCs/>
          <w:sz w:val="28"/>
          <w:szCs w:val="28"/>
        </w:rPr>
        <w:t xml:space="preserve">ON THE IMPORTANCE OF TROPICAL TREE PLANTING </w:t>
      </w:r>
    </w:p>
    <w:p w14:paraId="05D920E2" w14:textId="75C469D8" w:rsidR="008D07F1" w:rsidRPr="008D07F1" w:rsidRDefault="00750337" w:rsidP="008D07F1">
      <w:pPr>
        <w:pStyle w:val="NormalWeb"/>
        <w:numPr>
          <w:ilvl w:val="0"/>
          <w:numId w:val="16"/>
        </w:numPr>
        <w:shd w:val="clear" w:color="auto" w:fill="FFFFFF"/>
        <w:jc w:val="both"/>
        <w:rPr>
          <w:rFonts w:asciiTheme="minorHAnsi" w:hAnsiTheme="minorHAnsi" w:cstheme="minorHAnsi"/>
          <w:b/>
          <w:bCs/>
        </w:rPr>
      </w:pPr>
      <w:r w:rsidRPr="00BA3F4F">
        <w:rPr>
          <w:rFonts w:asciiTheme="minorHAnsi" w:hAnsiTheme="minorHAnsi" w:cstheme="minorHAnsi"/>
          <w:b/>
          <w:bCs/>
          <w:lang w:val="fr-FR"/>
        </w:rPr>
        <w:t xml:space="preserve">Bastin, Jean-Francois et al. </w:t>
      </w:r>
      <w:r w:rsidRPr="0044779E">
        <w:rPr>
          <w:rFonts w:asciiTheme="minorHAnsi" w:hAnsiTheme="minorHAnsi" w:cstheme="minorHAnsi"/>
          <w:b/>
          <w:bCs/>
        </w:rPr>
        <w:t xml:space="preserve">(2019). </w:t>
      </w:r>
      <w:r w:rsidRPr="0044779E">
        <w:rPr>
          <w:rFonts w:asciiTheme="minorHAnsi" w:hAnsiTheme="minorHAnsi" w:cstheme="minorHAnsi"/>
          <w:b/>
          <w:bCs/>
          <w:i/>
          <w:iCs/>
        </w:rPr>
        <w:t>The global tree restoration potential</w:t>
      </w:r>
      <w:r w:rsidRPr="0044779E">
        <w:rPr>
          <w:rFonts w:asciiTheme="minorHAnsi" w:hAnsiTheme="minorHAnsi" w:cstheme="minorHAnsi"/>
          <w:b/>
          <w:bCs/>
        </w:rPr>
        <w:t xml:space="preserve">. </w:t>
      </w:r>
      <w:r w:rsidRPr="0044779E">
        <w:rPr>
          <w:rFonts w:asciiTheme="minorHAnsi" w:hAnsiTheme="minorHAnsi" w:cstheme="minorHAnsi"/>
          <w:b/>
          <w:bCs/>
          <w:u w:val="single"/>
        </w:rPr>
        <w:t>Science</w:t>
      </w:r>
      <w:r w:rsidRPr="0044779E">
        <w:rPr>
          <w:rFonts w:asciiTheme="minorHAnsi" w:hAnsiTheme="minorHAnsi" w:cstheme="minorHAnsi"/>
          <w:b/>
          <w:bCs/>
        </w:rPr>
        <w:t xml:space="preserve"> July 2019,365 (6448): 76-79. DOI:10.1126/science.aax0848. </w:t>
      </w:r>
      <w:r w:rsidRPr="0044779E">
        <w:rPr>
          <w:rFonts w:asciiTheme="minorHAnsi" w:hAnsiTheme="minorHAnsi"/>
          <w:color w:val="333333"/>
          <w:shd w:val="clear" w:color="auto" w:fill="FFFFFF"/>
        </w:rPr>
        <w:t xml:space="preserve">Photosynthetic carbon capture by trees is likely to be among </w:t>
      </w:r>
      <w:r>
        <w:rPr>
          <w:rFonts w:asciiTheme="minorHAnsi" w:hAnsiTheme="minorHAnsi"/>
          <w:color w:val="333333"/>
          <w:shd w:val="clear" w:color="auto" w:fill="FFFFFF"/>
        </w:rPr>
        <w:t>the</w:t>
      </w:r>
      <w:r w:rsidRPr="0044779E">
        <w:rPr>
          <w:rFonts w:asciiTheme="minorHAnsi" w:hAnsiTheme="minorHAnsi"/>
          <w:color w:val="333333"/>
          <w:shd w:val="clear" w:color="auto" w:fill="FFFFFF"/>
        </w:rPr>
        <w:t xml:space="preserve"> most effective strategies to limit the rise of CO</w:t>
      </w:r>
      <w:r w:rsidRPr="0044779E">
        <w:rPr>
          <w:rFonts w:asciiTheme="minorHAnsi" w:hAnsiTheme="minorHAnsi"/>
          <w:color w:val="333333"/>
          <w:vertAlign w:val="subscript"/>
        </w:rPr>
        <w:t>2</w:t>
      </w:r>
      <w:r w:rsidRPr="0044779E">
        <w:rPr>
          <w:rFonts w:asciiTheme="minorHAnsi" w:hAnsiTheme="minorHAnsi"/>
          <w:color w:val="333333"/>
          <w:shd w:val="clear" w:color="auto" w:fill="FFFFFF"/>
        </w:rPr>
        <w:t> concentrations across the globe. Consequently, a number of international initiatives [such as the Bonn Challenge, the related AFR100, and the New York Declaration on Forests (</w:t>
      </w:r>
      <w:hyperlink r:id="rId20" w:anchor="ref-4" w:history="1">
        <w:r w:rsidRPr="0044779E">
          <w:rPr>
            <w:rFonts w:asciiTheme="minorHAnsi" w:hAnsiTheme="minorHAnsi"/>
            <w:b/>
            <w:bCs/>
            <w:i/>
            <w:iCs/>
            <w:color w:val="37588A"/>
          </w:rPr>
          <w:t>4</w:t>
        </w:r>
      </w:hyperlink>
      <w:r w:rsidRPr="0044779E">
        <w:rPr>
          <w:rFonts w:asciiTheme="minorHAnsi" w:hAnsiTheme="minorHAnsi"/>
          <w:color w:val="333333"/>
          <w:shd w:val="clear" w:color="auto" w:fill="FFFFFF"/>
        </w:rPr>
        <w:t>, </w:t>
      </w:r>
      <w:hyperlink r:id="rId21" w:anchor="ref-5" w:history="1">
        <w:r w:rsidRPr="0044779E">
          <w:rPr>
            <w:rFonts w:asciiTheme="minorHAnsi" w:hAnsiTheme="minorHAnsi"/>
            <w:b/>
            <w:bCs/>
            <w:i/>
            <w:iCs/>
            <w:color w:val="37588A"/>
          </w:rPr>
          <w:t>5</w:t>
        </w:r>
      </w:hyperlink>
      <w:r w:rsidRPr="0044779E">
        <w:rPr>
          <w:rFonts w:asciiTheme="minorHAnsi" w:hAnsiTheme="minorHAnsi"/>
          <w:color w:val="333333"/>
          <w:shd w:val="clear" w:color="auto" w:fill="FFFFFF"/>
        </w:rPr>
        <w:t>)] have established ambitious targets to promote forest conservation, afforestation, and restoration at a global scale. The latest special report by the Intergovernmental Panel on Climate Change (IPCC) suggests that an increase of 1 billion ha of forest will be necessary to limit global warming to 1.5°C by 2050.</w:t>
      </w:r>
      <w:r w:rsidR="004A3CF4">
        <w:rPr>
          <w:rFonts w:asciiTheme="minorHAnsi" w:hAnsiTheme="minorHAnsi"/>
          <w:color w:val="333333"/>
          <w:shd w:val="clear" w:color="auto" w:fill="FFFFFF"/>
        </w:rPr>
        <w:t xml:space="preserve"> </w:t>
      </w:r>
      <w:r w:rsidRPr="004A3CF4">
        <w:rPr>
          <w:rFonts w:cs="Arial"/>
          <w:color w:val="111111"/>
          <w:shd w:val="clear" w:color="auto" w:fill="FFFFFF"/>
        </w:rPr>
        <w:t xml:space="preserve">The study estimates that if we cannot deviate from the current trajectory, the global potential canopy cover may shrink by ~223 million hectares by 2050, with the vast majority of losses occurring in the tropics. </w:t>
      </w:r>
    </w:p>
    <w:p w14:paraId="6AA88D49" w14:textId="2F4954E3" w:rsidR="008D07F1" w:rsidRPr="008D07F1" w:rsidRDefault="008E05CB" w:rsidP="008D07F1">
      <w:pPr>
        <w:pStyle w:val="NormalWeb"/>
        <w:numPr>
          <w:ilvl w:val="0"/>
          <w:numId w:val="16"/>
        </w:numPr>
        <w:shd w:val="clear" w:color="auto" w:fill="FFFFFF"/>
        <w:jc w:val="both"/>
        <w:rPr>
          <w:rStyle w:val="Hyperlink"/>
          <w:rFonts w:asciiTheme="minorHAnsi" w:hAnsiTheme="minorHAnsi" w:cstheme="minorHAnsi"/>
          <w:b/>
          <w:bCs/>
          <w:color w:val="auto"/>
          <w:u w:val="none"/>
        </w:rPr>
      </w:pPr>
      <w:r w:rsidRPr="008D07F1">
        <w:rPr>
          <w:rFonts w:cs="Arial"/>
          <w:b/>
          <w:bCs/>
          <w:color w:val="111111"/>
          <w:shd w:val="clear" w:color="auto" w:fill="FFFFFF"/>
        </w:rPr>
        <w:t>IPCC (2019) Climate Change and Land.</w:t>
      </w:r>
      <w:r w:rsidRPr="008D07F1">
        <w:rPr>
          <w:rFonts w:cs="Arial"/>
          <w:color w:val="111111"/>
          <w:shd w:val="clear" w:color="auto" w:fill="FFFFFF"/>
        </w:rPr>
        <w:t xml:space="preserve"> (Draft proposal). Detailed analysis with confidence levels indicated for all performances. Eg.</w:t>
      </w:r>
      <w:r w:rsidR="005E666B" w:rsidRPr="008D07F1">
        <w:rPr>
          <w:rFonts w:cs="Arial"/>
          <w:color w:val="111111"/>
          <w:shd w:val="clear" w:color="auto" w:fill="FFFFFF"/>
        </w:rPr>
        <w:t xml:space="preserve"> </w:t>
      </w:r>
      <w:r w:rsidRPr="008D07F1">
        <w:rPr>
          <w:rFonts w:cs="Arial"/>
          <w:color w:val="111111"/>
          <w:shd w:val="clear" w:color="auto" w:fill="FFFFFF"/>
        </w:rPr>
        <w:t>Section A4.5 p12. “</w:t>
      </w:r>
      <w:r w:rsidRPr="008D07F1">
        <w:rPr>
          <w:rFonts w:ascii="TimesNewRomanPSMT" w:hAnsi="TimesNewRomanPSMT"/>
          <w:lang w:eastAsia="en-GB"/>
        </w:rPr>
        <w:t>Where forest cover increases in tropical regions cooling results from enhanced evapotranspiration (</w:t>
      </w:r>
      <w:r w:rsidRPr="008D07F1">
        <w:rPr>
          <w:rFonts w:ascii="TimesNewRomanPS" w:hAnsi="TimesNewRomanPS"/>
          <w:i/>
          <w:iCs/>
          <w:lang w:eastAsia="en-GB"/>
        </w:rPr>
        <w:t>high confidence</w:t>
      </w:r>
      <w:r w:rsidRPr="008D07F1">
        <w:rPr>
          <w:rFonts w:ascii="TimesNewRomanPSMT" w:hAnsi="TimesNewRomanPSMT"/>
          <w:lang w:eastAsia="en-GB"/>
        </w:rPr>
        <w:t xml:space="preserve">). Increased evapotranspiration can result in cooler days during the </w:t>
      </w:r>
      <w:r w:rsidRPr="008D07F1">
        <w:rPr>
          <w:rFonts w:ascii="TimesNewRomanPSMT" w:hAnsi="TimesNewRomanPSMT"/>
          <w:lang w:eastAsia="en-GB"/>
        </w:rPr>
        <w:lastRenderedPageBreak/>
        <w:t>growing season (</w:t>
      </w:r>
      <w:r w:rsidRPr="008D07F1">
        <w:rPr>
          <w:rFonts w:ascii="TimesNewRomanPS" w:hAnsi="TimesNewRomanPS"/>
          <w:i/>
          <w:iCs/>
          <w:lang w:eastAsia="en-GB"/>
        </w:rPr>
        <w:t>high confidence</w:t>
      </w:r>
      <w:r w:rsidRPr="008D07F1">
        <w:rPr>
          <w:rFonts w:ascii="TimesNewRomanPSMT" w:hAnsi="TimesNewRomanPSMT"/>
          <w:lang w:eastAsia="en-GB"/>
        </w:rPr>
        <w:t>) and can reduce the amplitude of heat related events (</w:t>
      </w:r>
      <w:r w:rsidRPr="008D07F1">
        <w:rPr>
          <w:rFonts w:ascii="TimesNewRomanPS" w:hAnsi="TimesNewRomanPS"/>
          <w:i/>
          <w:iCs/>
          <w:lang w:eastAsia="en-GB"/>
        </w:rPr>
        <w:t>medium confidence</w:t>
      </w:r>
      <w:r w:rsidRPr="008D07F1">
        <w:rPr>
          <w:rFonts w:ascii="TimesNewRomanPSMT" w:hAnsi="TimesNewRomanPSMT"/>
          <w:lang w:eastAsia="en-GB"/>
        </w:rPr>
        <w:t>). In regions with seasonal snow cover, such as boreal and some temperate, increased tree and shrub cover also has a wintertime warming influence due</w:t>
      </w:r>
      <w:r w:rsidR="00E55B82" w:rsidRPr="008D07F1">
        <w:rPr>
          <w:rFonts w:ascii="TimesNewRomanPSMT" w:hAnsi="TimesNewRomanPSMT"/>
          <w:lang w:eastAsia="en-GB"/>
        </w:rPr>
        <w:t xml:space="preserve"> </w:t>
      </w:r>
      <w:r w:rsidRPr="008D07F1">
        <w:rPr>
          <w:rFonts w:ascii="TimesNewRomanPSMT" w:hAnsi="TimesNewRomanPSMT"/>
          <w:lang w:eastAsia="en-GB"/>
        </w:rPr>
        <w:t>to reduced surface albedo</w:t>
      </w:r>
      <w:r w:rsidRPr="008D07F1">
        <w:rPr>
          <w:rFonts w:ascii="TimesNewRomanPSMT" w:hAnsi="TimesNewRomanPSMT"/>
          <w:position w:val="10"/>
          <w:sz w:val="16"/>
          <w:szCs w:val="16"/>
          <w:lang w:eastAsia="en-GB"/>
        </w:rPr>
        <w:t xml:space="preserve">28 </w:t>
      </w:r>
      <w:r w:rsidRPr="008D07F1">
        <w:rPr>
          <w:rFonts w:ascii="TimesNewRomanPSMT" w:hAnsi="TimesNewRomanPSMT"/>
          <w:lang w:eastAsia="en-GB"/>
        </w:rPr>
        <w:t>(</w:t>
      </w:r>
      <w:r w:rsidRPr="008D07F1">
        <w:rPr>
          <w:rFonts w:ascii="TimesNewRomanPS" w:hAnsi="TimesNewRomanPS"/>
          <w:i/>
          <w:iCs/>
          <w:lang w:eastAsia="en-GB"/>
        </w:rPr>
        <w:t>high confidence</w:t>
      </w:r>
      <w:r w:rsidRPr="008D07F1">
        <w:rPr>
          <w:rFonts w:ascii="TimesNewRomanPSMT" w:hAnsi="TimesNewRomanPSMT"/>
          <w:lang w:eastAsia="en-GB"/>
        </w:rPr>
        <w:t>).”</w:t>
      </w:r>
    </w:p>
    <w:p w14:paraId="1519F73E" w14:textId="6E52103B" w:rsidR="00F728E1" w:rsidRPr="00F728E1" w:rsidRDefault="00F728E1" w:rsidP="00BA4E28">
      <w:pPr>
        <w:pStyle w:val="ListParagraph"/>
        <w:numPr>
          <w:ilvl w:val="0"/>
          <w:numId w:val="16"/>
        </w:numPr>
        <w:spacing w:before="100" w:beforeAutospacing="1" w:after="100" w:afterAutospacing="1"/>
        <w:jc w:val="both"/>
        <w:rPr>
          <w:rFonts w:eastAsia="Times New Roman" w:cstheme="minorHAnsi"/>
          <w:lang w:eastAsia="en-GB"/>
        </w:rPr>
      </w:pPr>
      <w:r w:rsidRPr="00BA4E28">
        <w:rPr>
          <w:rFonts w:eastAsia="Times New Roman" w:cstheme="minorHAnsi"/>
          <w:b/>
          <w:bCs/>
          <w:lang w:eastAsia="en-GB"/>
        </w:rPr>
        <w:t>Brienen, R.J.W. et al. (2020). Forest carbon sink neutralized by pervasive growth-lifespan trade-offs.</w:t>
      </w:r>
      <w:r>
        <w:rPr>
          <w:rFonts w:eastAsia="Times New Roman" w:cstheme="minorHAnsi"/>
          <w:lang w:eastAsia="en-GB"/>
        </w:rPr>
        <w:t xml:space="preserve"> </w:t>
      </w:r>
      <w:r w:rsidRPr="00BA4E28">
        <w:rPr>
          <w:rFonts w:eastAsia="Times New Roman" w:cstheme="minorHAnsi"/>
          <w:u w:val="single"/>
          <w:lang w:eastAsia="en-GB"/>
        </w:rPr>
        <w:t>Nature Communications</w:t>
      </w:r>
      <w:r>
        <w:rPr>
          <w:rFonts w:eastAsia="Times New Roman" w:cstheme="minorHAnsi"/>
          <w:lang w:eastAsia="en-GB"/>
        </w:rPr>
        <w:t xml:space="preserve"> 11, </w:t>
      </w:r>
      <w:r w:rsidR="00BA4E28">
        <w:rPr>
          <w:rFonts w:eastAsia="Times New Roman" w:cstheme="minorHAnsi"/>
          <w:lang w:eastAsia="en-GB"/>
        </w:rPr>
        <w:t>4241 (2020), https://doi.org/10.1038/s41467-020-17966-z.</w:t>
      </w:r>
    </w:p>
    <w:p w14:paraId="057E3DA8" w14:textId="141CDB17" w:rsidR="00380EC3" w:rsidRDefault="00E55B82" w:rsidP="00380EC3">
      <w:pPr>
        <w:pStyle w:val="ListParagraph"/>
        <w:spacing w:before="100" w:beforeAutospacing="1" w:after="100" w:afterAutospacing="1"/>
        <w:ind w:left="709"/>
        <w:jc w:val="both"/>
        <w:rPr>
          <w:rFonts w:eastAsia="Times New Roman" w:cstheme="minorHAnsi"/>
          <w:color w:val="000000"/>
          <w:shd w:val="clear" w:color="auto" w:fill="FFFFFF"/>
          <w:lang w:eastAsia="en-GB"/>
        </w:rPr>
      </w:pPr>
      <w:r w:rsidRPr="006E7436">
        <w:rPr>
          <w:rFonts w:eastAsia="Times New Roman" w:cstheme="minorHAnsi"/>
          <w:color w:val="222222"/>
          <w:shd w:val="clear" w:color="auto" w:fill="FFFFFF"/>
          <w:lang w:eastAsia="en-GB"/>
        </w:rPr>
        <w:t xml:space="preserve">Paper provides firm evidence for the existence of a universal trade-off between early growth and tree lifespan in trees with the potential to reduce, or even reverse the global carbon sink of forests in the future. Faster growth has a direct and negative effect on tree lifespan. Growth increases across high latitude and tropical forests are expected to reduce tree lifespans and may explain observed increases in tree mortality in these biomes. </w:t>
      </w:r>
      <w:r w:rsidRPr="006E7436">
        <w:rPr>
          <w:rFonts w:eastAsia="Times New Roman" w:cstheme="minorHAnsi"/>
          <w:lang w:eastAsia="en-GB"/>
        </w:rPr>
        <w:t>S</w:t>
      </w:r>
      <w:r w:rsidRPr="006E7436">
        <w:rPr>
          <w:rFonts w:eastAsia="Times New Roman" w:cstheme="minorHAnsi"/>
          <w:color w:val="000000"/>
          <w:shd w:val="clear" w:color="auto" w:fill="FFFFFF"/>
          <w:lang w:eastAsia="en-GB"/>
        </w:rPr>
        <w:t>horter lifespans will mean the benefits of these faster-growing forests might also be short-lived as forests die off sooner and end up storing less carbon. Moreover, when trees die, they slowly begin to release their carbon stores in the form of methane, a potent long-lived greenhouse gas. (</w:t>
      </w:r>
      <w:r w:rsidRPr="006E7436">
        <w:rPr>
          <w:rFonts w:eastAsia="Times New Roman" w:cstheme="minorHAnsi"/>
          <w:color w:val="000000"/>
          <w:u w:val="single"/>
          <w:shd w:val="clear" w:color="auto" w:fill="FFFFFF"/>
          <w:lang w:eastAsia="en-GB"/>
        </w:rPr>
        <w:t>IDE comment</w:t>
      </w:r>
      <w:r w:rsidRPr="006E7436">
        <w:rPr>
          <w:rFonts w:eastAsia="Times New Roman" w:cstheme="minorHAnsi"/>
          <w:color w:val="000000"/>
          <w:shd w:val="clear" w:color="auto" w:fill="FFFFFF"/>
          <w:lang w:eastAsia="en-GB"/>
        </w:rPr>
        <w:t>: This observation is less critical for the two companion species planted under the Mvule Project for Carbon Capture (</w:t>
      </w:r>
      <w:r w:rsidRPr="006E7436">
        <w:rPr>
          <w:rFonts w:eastAsia="Times New Roman" w:cstheme="minorHAnsi"/>
          <w:i/>
          <w:iCs/>
          <w:color w:val="000000"/>
          <w:shd w:val="clear" w:color="auto" w:fill="FFFFFF"/>
          <w:lang w:eastAsia="en-GB"/>
        </w:rPr>
        <w:t>T.superba</w:t>
      </w:r>
      <w:r w:rsidRPr="006E7436">
        <w:rPr>
          <w:rFonts w:eastAsia="Times New Roman" w:cstheme="minorHAnsi"/>
          <w:color w:val="000000"/>
          <w:shd w:val="clear" w:color="auto" w:fill="FFFFFF"/>
          <w:lang w:eastAsia="en-GB"/>
        </w:rPr>
        <w:t xml:space="preserve"> and </w:t>
      </w:r>
      <w:r w:rsidRPr="006E7436">
        <w:rPr>
          <w:rFonts w:eastAsia="Times New Roman" w:cstheme="minorHAnsi"/>
          <w:i/>
          <w:iCs/>
          <w:color w:val="000000"/>
          <w:shd w:val="clear" w:color="auto" w:fill="FFFFFF"/>
          <w:lang w:eastAsia="en-GB"/>
        </w:rPr>
        <w:t>M.eminii</w:t>
      </w:r>
      <w:r w:rsidRPr="006E7436">
        <w:rPr>
          <w:rFonts w:eastAsia="Times New Roman" w:cstheme="minorHAnsi"/>
          <w:color w:val="000000"/>
          <w:shd w:val="clear" w:color="auto" w:fill="FFFFFF"/>
          <w:lang w:eastAsia="en-GB"/>
        </w:rPr>
        <w:t>), as they are generally harvested well before maturity whilst the Mvule (</w:t>
      </w:r>
      <w:r w:rsidRPr="006E7436">
        <w:rPr>
          <w:rFonts w:eastAsia="Times New Roman" w:cstheme="minorHAnsi"/>
          <w:i/>
          <w:iCs/>
          <w:color w:val="000000"/>
          <w:shd w:val="clear" w:color="auto" w:fill="FFFFFF"/>
          <w:lang w:eastAsia="en-GB"/>
        </w:rPr>
        <w:t>M.excelsa</w:t>
      </w:r>
      <w:r w:rsidRPr="006E7436">
        <w:rPr>
          <w:rFonts w:eastAsia="Times New Roman" w:cstheme="minorHAnsi"/>
          <w:color w:val="000000"/>
          <w:shd w:val="clear" w:color="auto" w:fill="FFFFFF"/>
          <w:lang w:eastAsia="en-GB"/>
        </w:rPr>
        <w:t>) is resilient to early mortality on account of its special features</w:t>
      </w:r>
      <w:r>
        <w:rPr>
          <w:rFonts w:eastAsia="Times New Roman" w:cstheme="minorHAnsi"/>
          <w:color w:val="000000"/>
          <w:shd w:val="clear" w:color="auto" w:fill="FFFFFF"/>
          <w:lang w:eastAsia="en-GB"/>
        </w:rPr>
        <w:t xml:space="preserve"> </w:t>
      </w:r>
      <w:proofErr w:type="spellStart"/>
      <w:r>
        <w:rPr>
          <w:rFonts w:eastAsia="Times New Roman" w:cstheme="minorHAnsi"/>
          <w:color w:val="000000"/>
          <w:shd w:val="clear" w:color="auto" w:fill="FFFFFF"/>
          <w:lang w:eastAsia="en-GB"/>
        </w:rPr>
        <w:t>ie</w:t>
      </w:r>
      <w:proofErr w:type="spellEnd"/>
      <w:r>
        <w:rPr>
          <w:rFonts w:eastAsia="Times New Roman" w:cstheme="minorHAnsi"/>
          <w:color w:val="000000"/>
          <w:shd w:val="clear" w:color="auto" w:fill="FFFFFF"/>
          <w:lang w:eastAsia="en-GB"/>
        </w:rPr>
        <w:t>. high resistance to fungal and termite attack.</w:t>
      </w:r>
      <w:r w:rsidR="00380EC3">
        <w:rPr>
          <w:rFonts w:eastAsia="Times New Roman" w:cstheme="minorHAnsi"/>
          <w:color w:val="000000"/>
          <w:shd w:val="clear" w:color="auto" w:fill="FFFFFF"/>
          <w:lang w:eastAsia="en-GB"/>
        </w:rPr>
        <w:t xml:space="preserve"> </w:t>
      </w:r>
    </w:p>
    <w:p w14:paraId="6093E25E" w14:textId="1B70A2F7" w:rsidR="00380EC3" w:rsidRPr="00B436E6" w:rsidRDefault="00380EC3" w:rsidP="00B436E6">
      <w:pPr>
        <w:pStyle w:val="ListParagraph"/>
        <w:numPr>
          <w:ilvl w:val="0"/>
          <w:numId w:val="16"/>
        </w:numPr>
        <w:spacing w:beforeAutospacing="1" w:afterAutospacing="1"/>
        <w:rPr>
          <w:rFonts w:ascii="Arial" w:hAnsi="Arial" w:cs="Arial"/>
          <w:color w:val="777777"/>
          <w:sz w:val="18"/>
          <w:szCs w:val="18"/>
        </w:rPr>
      </w:pPr>
      <w:r w:rsidRPr="00570F42">
        <w:rPr>
          <w:rFonts w:eastAsia="Times New Roman" w:cstheme="minorHAnsi"/>
          <w:b/>
          <w:bCs/>
          <w:color w:val="000000"/>
          <w:shd w:val="clear" w:color="auto" w:fill="FFFFFF"/>
          <w:lang w:eastAsia="en-GB"/>
        </w:rPr>
        <w:t>Bellassen, V &amp; Luyssaert, S. (2014) Carbon sequestration: Managing forests in uncertain times</w:t>
      </w:r>
      <w:r w:rsidRPr="00570F42">
        <w:rPr>
          <w:rFonts w:eastAsia="Times New Roman" w:cstheme="minorHAnsi"/>
          <w:color w:val="000000"/>
          <w:shd w:val="clear" w:color="auto" w:fill="FFFFFF"/>
          <w:lang w:eastAsia="en-GB"/>
        </w:rPr>
        <w:t xml:space="preserve">.  Nature 506 (7487): 153-5.  </w:t>
      </w:r>
      <w:hyperlink r:id="rId22" w:history="1">
        <w:r w:rsidRPr="00570F42">
          <w:rPr>
            <w:rFonts w:cstheme="minorHAnsi"/>
            <w:color w:val="0000FF"/>
            <w:u w:val="single"/>
            <w:bdr w:val="none" w:sz="0" w:space="0" w:color="auto" w:frame="1"/>
          </w:rPr>
          <w:t>10.1038/506153a</w:t>
        </w:r>
      </w:hyperlink>
      <w:r w:rsidR="00570F42">
        <w:rPr>
          <w:rFonts w:cstheme="minorHAnsi"/>
          <w:color w:val="777777"/>
        </w:rPr>
        <w:t xml:space="preserve">.  </w:t>
      </w:r>
      <w:r w:rsidR="00494702" w:rsidRPr="00B436E6">
        <w:rPr>
          <w:rFonts w:cstheme="minorHAnsi"/>
          <w:color w:val="000000" w:themeColor="text1"/>
        </w:rPr>
        <w:t xml:space="preserve">Comments on the uncertainty of climate models </w:t>
      </w:r>
      <w:r w:rsidR="00B436E6">
        <w:rPr>
          <w:rFonts w:cstheme="minorHAnsi"/>
          <w:color w:val="000000" w:themeColor="text1"/>
        </w:rPr>
        <w:t>in</w:t>
      </w:r>
      <w:r w:rsidR="00494702" w:rsidRPr="00B436E6">
        <w:rPr>
          <w:rFonts w:cstheme="minorHAnsi"/>
          <w:color w:val="000000" w:themeColor="text1"/>
        </w:rPr>
        <w:t xml:space="preserve"> predicting the changing CO2 sequestration rates</w:t>
      </w:r>
      <w:r w:rsidR="00B436E6">
        <w:rPr>
          <w:rFonts w:cstheme="minorHAnsi"/>
          <w:color w:val="000000" w:themeColor="text1"/>
        </w:rPr>
        <w:t xml:space="preserve"> with climate change</w:t>
      </w:r>
      <w:r w:rsidR="00B436E6" w:rsidRPr="00B436E6">
        <w:rPr>
          <w:rFonts w:cstheme="minorHAnsi"/>
          <w:color w:val="000000" w:themeColor="text1"/>
        </w:rPr>
        <w:t xml:space="preserve">, </w:t>
      </w:r>
      <w:r w:rsidR="00B436E6">
        <w:rPr>
          <w:rFonts w:cstheme="minorHAnsi"/>
          <w:color w:val="000000" w:themeColor="text1"/>
        </w:rPr>
        <w:t xml:space="preserve">so </w:t>
      </w:r>
      <w:r w:rsidR="00B436E6" w:rsidRPr="00B436E6">
        <w:rPr>
          <w:rFonts w:cstheme="minorHAnsi"/>
          <w:color w:val="000000" w:themeColor="text1"/>
        </w:rPr>
        <w:t>necessitating several potential strategies to secure the forest carbon sink. One such strategy is conditional harvesting of timber ensuring a long-life for the wood products. (IDE comment: the harvesting of companion species with the Mvule Project (T.superba and M.eminii fulfil</w:t>
      </w:r>
      <w:r w:rsidR="00B436E6">
        <w:rPr>
          <w:rFonts w:cstheme="minorHAnsi"/>
          <w:color w:val="000000" w:themeColor="text1"/>
        </w:rPr>
        <w:t>s</w:t>
      </w:r>
      <w:r w:rsidR="00B436E6" w:rsidRPr="00B436E6">
        <w:rPr>
          <w:rFonts w:cstheme="minorHAnsi"/>
          <w:color w:val="000000" w:themeColor="text1"/>
        </w:rPr>
        <w:t xml:space="preserve"> this role).  </w:t>
      </w:r>
    </w:p>
    <w:p w14:paraId="259BD3F2" w14:textId="00D0A054" w:rsidR="00E55B82" w:rsidRPr="00E55B82" w:rsidRDefault="00E55B82" w:rsidP="00E55B82">
      <w:pPr>
        <w:pStyle w:val="ListParagraph"/>
        <w:numPr>
          <w:ilvl w:val="0"/>
          <w:numId w:val="16"/>
        </w:numPr>
        <w:spacing w:before="100" w:beforeAutospacing="1" w:after="100" w:afterAutospacing="1"/>
        <w:jc w:val="both"/>
        <w:rPr>
          <w:rFonts w:eastAsia="Times New Roman" w:cstheme="minorHAnsi"/>
          <w:lang w:eastAsia="en-GB"/>
        </w:rPr>
      </w:pPr>
      <w:r w:rsidRPr="004A3CF4">
        <w:rPr>
          <w:rFonts w:eastAsia="Times New Roman" w:cstheme="minorHAnsi"/>
          <w:b/>
          <w:bCs/>
          <w:lang w:eastAsia="en-GB"/>
        </w:rPr>
        <w:t>Waring, B.,</w:t>
      </w:r>
      <w:r w:rsidR="004A3CF4" w:rsidRPr="004A3CF4">
        <w:rPr>
          <w:rFonts w:eastAsia="Times New Roman" w:cstheme="minorHAnsi"/>
          <w:b/>
          <w:bCs/>
          <w:lang w:eastAsia="en-GB"/>
        </w:rPr>
        <w:t xml:space="preserve"> et al.</w:t>
      </w:r>
      <w:r w:rsidRPr="004A3CF4">
        <w:rPr>
          <w:rFonts w:eastAsia="Times New Roman" w:cstheme="minorHAnsi"/>
          <w:b/>
          <w:bCs/>
          <w:lang w:eastAsia="en-GB"/>
        </w:rPr>
        <w:t>(2020)</w:t>
      </w:r>
      <w:r w:rsidR="004A3CF4" w:rsidRPr="004A3CF4">
        <w:rPr>
          <w:rFonts w:eastAsia="Times New Roman" w:cstheme="minorHAnsi"/>
          <w:b/>
          <w:bCs/>
          <w:lang w:eastAsia="en-GB"/>
        </w:rPr>
        <w:t>.</w:t>
      </w:r>
      <w:r w:rsidRPr="00DF6BAD">
        <w:rPr>
          <w:rFonts w:eastAsia="Times New Roman" w:cstheme="minorHAnsi"/>
          <w:lang w:eastAsia="en-GB"/>
        </w:rPr>
        <w:t xml:space="preserve"> </w:t>
      </w:r>
      <w:r w:rsidRPr="00DF6BAD">
        <w:rPr>
          <w:rFonts w:eastAsia="Times New Roman" w:cstheme="minorHAnsi"/>
          <w:b/>
          <w:bCs/>
          <w:lang w:eastAsia="en-GB"/>
        </w:rPr>
        <w:t>What role can forests play in tackling climate change?</w:t>
      </w:r>
      <w:r w:rsidRPr="00DF6BAD">
        <w:rPr>
          <w:rFonts w:eastAsia="Times New Roman" w:cstheme="minorHAnsi"/>
          <w:lang w:eastAsia="en-GB"/>
        </w:rPr>
        <w:t xml:space="preserve"> Grantham Institute Discussion Paper #6. </w:t>
      </w:r>
      <w:hyperlink r:id="rId23" w:history="1">
        <w:r w:rsidR="00570F42" w:rsidRPr="00746604">
          <w:rPr>
            <w:rStyle w:val="Hyperlink"/>
            <w:rFonts w:eastAsia="Times New Roman" w:cstheme="minorHAnsi"/>
            <w:lang w:eastAsia="en-GB"/>
          </w:rPr>
          <w:t>https://doi.org/10.25561/80271</w:t>
        </w:r>
      </w:hyperlink>
      <w:r w:rsidR="005211F1">
        <w:rPr>
          <w:rStyle w:val="Hyperlink"/>
          <w:rFonts w:eastAsia="Times New Roman" w:cstheme="minorHAnsi"/>
          <w:lang w:eastAsia="en-GB"/>
        </w:rPr>
        <w:t xml:space="preserve">. </w:t>
      </w:r>
      <w:r w:rsidR="005211F1">
        <w:rPr>
          <w:rStyle w:val="Hyperlink"/>
          <w:rFonts w:eastAsia="Times New Roman" w:cstheme="minorHAnsi"/>
          <w:color w:val="000000" w:themeColor="text1"/>
          <w:u w:val="none"/>
          <w:lang w:eastAsia="en-GB"/>
        </w:rPr>
        <w:t>A qualified appraisal of the benefits of planting trees</w:t>
      </w:r>
      <w:r w:rsidR="00380EC3">
        <w:rPr>
          <w:rStyle w:val="Hyperlink"/>
          <w:rFonts w:eastAsia="Times New Roman" w:cstheme="minorHAnsi"/>
          <w:color w:val="000000" w:themeColor="text1"/>
          <w:u w:val="none"/>
          <w:lang w:eastAsia="en-GB"/>
        </w:rPr>
        <w:t xml:space="preserve">, indicating </w:t>
      </w:r>
      <w:r w:rsidR="00B436E6">
        <w:rPr>
          <w:rStyle w:val="Hyperlink"/>
          <w:rFonts w:eastAsia="Times New Roman" w:cstheme="minorHAnsi"/>
          <w:color w:val="000000" w:themeColor="text1"/>
          <w:u w:val="none"/>
          <w:lang w:eastAsia="en-GB"/>
        </w:rPr>
        <w:t xml:space="preserve">too </w:t>
      </w:r>
      <w:r w:rsidR="00380EC3">
        <w:rPr>
          <w:rStyle w:val="Hyperlink"/>
          <w:rFonts w:eastAsia="Times New Roman" w:cstheme="minorHAnsi"/>
          <w:color w:val="000000" w:themeColor="text1"/>
          <w:u w:val="none"/>
          <w:lang w:eastAsia="en-GB"/>
        </w:rPr>
        <w:t xml:space="preserve">the benefits of </w:t>
      </w:r>
      <w:r w:rsidR="00B436E6">
        <w:rPr>
          <w:rStyle w:val="Hyperlink"/>
          <w:rFonts w:eastAsia="Times New Roman" w:cstheme="minorHAnsi"/>
          <w:color w:val="000000" w:themeColor="text1"/>
          <w:u w:val="none"/>
          <w:lang w:eastAsia="en-GB"/>
        </w:rPr>
        <w:t xml:space="preserve">tree planting in tropical biomes for maximum growth. </w:t>
      </w:r>
    </w:p>
    <w:p w14:paraId="363B3837" w14:textId="4554AA07" w:rsidR="005E666B" w:rsidRPr="003F1A85" w:rsidRDefault="005E666B" w:rsidP="007821B9">
      <w:pPr>
        <w:pStyle w:val="NormalWeb"/>
        <w:numPr>
          <w:ilvl w:val="0"/>
          <w:numId w:val="41"/>
        </w:numPr>
        <w:jc w:val="both"/>
        <w:rPr>
          <w:rFonts w:asciiTheme="minorHAnsi" w:hAnsiTheme="minorHAnsi" w:cstheme="minorHAnsi"/>
          <w:b/>
          <w:bCs/>
          <w:sz w:val="28"/>
          <w:szCs w:val="28"/>
          <w:lang w:eastAsia="en-GB"/>
        </w:rPr>
      </w:pPr>
      <w:r w:rsidRPr="003F1A85">
        <w:rPr>
          <w:rFonts w:asciiTheme="minorHAnsi" w:hAnsiTheme="minorHAnsi" w:cstheme="minorHAnsi"/>
          <w:b/>
          <w:bCs/>
          <w:sz w:val="28"/>
          <w:szCs w:val="28"/>
          <w:lang w:eastAsia="en-GB"/>
        </w:rPr>
        <w:t>CLIMATE RELATED SCIENTIFIC EVIDENCE RELEVANT TO UGANDA</w:t>
      </w:r>
    </w:p>
    <w:p w14:paraId="09B9D8F0" w14:textId="54FD815F" w:rsidR="003F6F88" w:rsidRDefault="000457FA" w:rsidP="00705CF2">
      <w:pPr>
        <w:pStyle w:val="NormalWeb"/>
        <w:numPr>
          <w:ilvl w:val="0"/>
          <w:numId w:val="21"/>
        </w:numPr>
        <w:shd w:val="clear" w:color="auto" w:fill="FFFFFF"/>
        <w:jc w:val="both"/>
        <w:rPr>
          <w:rFonts w:asciiTheme="minorHAnsi" w:hAnsiTheme="minorHAnsi" w:cstheme="minorHAnsi"/>
          <w:lang w:eastAsia="en-GB"/>
        </w:rPr>
      </w:pPr>
      <w:r w:rsidRPr="000457FA">
        <w:rPr>
          <w:rFonts w:asciiTheme="minorHAnsi" w:hAnsiTheme="minorHAnsi" w:cstheme="minorHAnsi"/>
          <w:b/>
          <w:bCs/>
          <w:lang w:eastAsia="en-GB"/>
        </w:rPr>
        <w:t>World Bank Group, Climate Change Knowledge Portal (2020).</w:t>
      </w:r>
      <w:r w:rsidRPr="000457FA">
        <w:rPr>
          <w:rFonts w:asciiTheme="minorHAnsi" w:hAnsiTheme="minorHAnsi" w:cstheme="minorHAnsi"/>
          <w:lang w:eastAsia="en-GB"/>
        </w:rPr>
        <w:t xml:space="preserve"> Climate Risk County Profile</w:t>
      </w:r>
      <w:r>
        <w:rPr>
          <w:rFonts w:asciiTheme="minorHAnsi" w:hAnsiTheme="minorHAnsi" w:cstheme="minorHAnsi"/>
          <w:lang w:eastAsia="en-GB"/>
        </w:rPr>
        <w:t xml:space="preserve">: Uganda. Pp. 30. Detailed information from CCKP on climate predictions for Representative Concentration Pathways: RCP2.6; 4.5; 6.0 &amp; 8.5.  </w:t>
      </w:r>
      <w:r w:rsidRPr="00C769CF">
        <w:rPr>
          <w:rFonts w:asciiTheme="minorHAnsi" w:hAnsiTheme="minorHAnsi" w:cstheme="minorHAnsi"/>
          <w:lang w:eastAsia="en-GB"/>
        </w:rPr>
        <w:t>“The country’s weather and seasons being determined by the large-scale Indian Monsoon, Congo air mass, Indian Ocean Dipole (IOD) and the Inter Tropical Convergence Zone (ITCZ) systems. Uganda also experiences the El</w:t>
      </w:r>
      <w:r w:rsidR="00BA4E28">
        <w:rPr>
          <w:rFonts w:asciiTheme="minorHAnsi" w:hAnsiTheme="minorHAnsi" w:cstheme="minorHAnsi"/>
          <w:lang w:eastAsia="en-GB"/>
        </w:rPr>
        <w:t xml:space="preserve"> </w:t>
      </w:r>
      <w:r w:rsidRPr="00C769CF">
        <w:rPr>
          <w:rFonts w:asciiTheme="minorHAnsi" w:hAnsiTheme="minorHAnsi" w:cstheme="minorHAnsi"/>
          <w:lang w:eastAsia="en-GB"/>
        </w:rPr>
        <w:t>Nino Southern Oscillation (ENSO) phenomena, which are principal driving forces of intra-annual to inter annual rainfall variability. Specifically, the most pronounced impacts for Uganda are during the rainy season, September to December, where the El Nino is often equated to floods rather than La Nina that is often equated to droughts “(p3).  (IDE: Data shows current Mean max ann. temp. 28.7</w:t>
      </w:r>
      <w:r w:rsidRPr="00C769CF">
        <w:rPr>
          <w:rFonts w:asciiTheme="minorHAnsi" w:hAnsiTheme="minorHAnsi" w:cstheme="minorHAnsi"/>
          <w:vertAlign w:val="superscript"/>
          <w:lang w:eastAsia="en-GB"/>
        </w:rPr>
        <w:t>O</w:t>
      </w:r>
      <w:r w:rsidRPr="00C769CF">
        <w:rPr>
          <w:rFonts w:asciiTheme="minorHAnsi" w:hAnsiTheme="minorHAnsi" w:cstheme="minorHAnsi"/>
          <w:lang w:eastAsia="en-GB"/>
        </w:rPr>
        <w:t>C; mean min.ann.temp.16.2</w:t>
      </w:r>
      <w:r w:rsidRPr="00C769CF">
        <w:rPr>
          <w:rFonts w:asciiTheme="minorHAnsi" w:hAnsiTheme="minorHAnsi" w:cstheme="minorHAnsi"/>
          <w:vertAlign w:val="superscript"/>
          <w:lang w:eastAsia="en-GB"/>
        </w:rPr>
        <w:t>O</w:t>
      </w:r>
      <w:r w:rsidRPr="00C769CF">
        <w:rPr>
          <w:rFonts w:asciiTheme="minorHAnsi" w:hAnsiTheme="minorHAnsi" w:cstheme="minorHAnsi"/>
          <w:lang w:eastAsia="en-GB"/>
        </w:rPr>
        <w:t xml:space="preserve">C; mean ann. precipitation 1,200mm.  Predictions under RCP 8.5 (High emissions) using the CMIP5 ensemble of 32 Global Circulation Models (GCMs) as follows: </w:t>
      </w:r>
    </w:p>
    <w:p w14:paraId="323F0DE4" w14:textId="3D6AB5CF" w:rsidR="000457FA" w:rsidRPr="003F6F88" w:rsidRDefault="003F6F88" w:rsidP="007502D4">
      <w:pPr>
        <w:pStyle w:val="NormalWeb"/>
        <w:shd w:val="clear" w:color="auto" w:fill="FFFFFF"/>
        <w:ind w:left="993" w:hanging="273"/>
        <w:jc w:val="both"/>
        <w:rPr>
          <w:rFonts w:asciiTheme="minorHAnsi" w:hAnsiTheme="minorHAnsi" w:cstheme="minorHAnsi"/>
          <w:lang w:eastAsia="en-GB"/>
        </w:rPr>
      </w:pPr>
      <w:r>
        <w:rPr>
          <w:rFonts w:asciiTheme="minorHAnsi" w:hAnsiTheme="minorHAnsi" w:cstheme="minorHAnsi"/>
          <w:lang w:eastAsia="en-GB"/>
        </w:rPr>
        <w:t xml:space="preserve">a. </w:t>
      </w:r>
      <w:r w:rsidR="000457FA" w:rsidRPr="003F6F88">
        <w:rPr>
          <w:rFonts w:asciiTheme="minorHAnsi" w:hAnsiTheme="minorHAnsi" w:cstheme="minorHAnsi"/>
          <w:u w:val="single"/>
          <w:lang w:eastAsia="en-GB"/>
        </w:rPr>
        <w:t xml:space="preserve">Median </w:t>
      </w:r>
      <w:proofErr w:type="gramStart"/>
      <w:r w:rsidR="000457FA" w:rsidRPr="003F6F88">
        <w:rPr>
          <w:rFonts w:asciiTheme="minorHAnsi" w:hAnsiTheme="minorHAnsi" w:cstheme="minorHAnsi"/>
          <w:u w:val="single"/>
          <w:lang w:eastAsia="en-GB"/>
        </w:rPr>
        <w:t>temp.anomaly</w:t>
      </w:r>
      <w:proofErr w:type="gramEnd"/>
      <w:r w:rsidR="000457FA" w:rsidRPr="003F6F88">
        <w:rPr>
          <w:rFonts w:asciiTheme="minorHAnsi" w:hAnsiTheme="minorHAnsi" w:cstheme="minorHAnsi"/>
          <w:lang w:eastAsia="en-GB"/>
        </w:rPr>
        <w:t>: 2020-39 = +1.0</w:t>
      </w:r>
      <w:r w:rsidR="000457FA" w:rsidRPr="003F6F88">
        <w:rPr>
          <w:rFonts w:asciiTheme="minorHAnsi" w:hAnsiTheme="minorHAnsi" w:cstheme="minorHAnsi"/>
          <w:vertAlign w:val="superscript"/>
          <w:lang w:eastAsia="en-GB"/>
        </w:rPr>
        <w:t>O</w:t>
      </w:r>
      <w:r w:rsidR="000457FA" w:rsidRPr="003F6F88">
        <w:rPr>
          <w:rFonts w:asciiTheme="minorHAnsi" w:hAnsiTheme="minorHAnsi" w:cstheme="minorHAnsi"/>
          <w:lang w:eastAsia="en-GB"/>
        </w:rPr>
        <w:t>C/ 2040-59 = +1.8</w:t>
      </w:r>
      <w:r w:rsidR="000457FA" w:rsidRPr="003F6F88">
        <w:rPr>
          <w:rFonts w:asciiTheme="minorHAnsi" w:hAnsiTheme="minorHAnsi" w:cstheme="minorHAnsi"/>
          <w:vertAlign w:val="superscript"/>
          <w:lang w:eastAsia="en-GB"/>
        </w:rPr>
        <w:t>O</w:t>
      </w:r>
      <w:r w:rsidR="000457FA" w:rsidRPr="003F6F88">
        <w:rPr>
          <w:rFonts w:asciiTheme="minorHAnsi" w:hAnsiTheme="minorHAnsi" w:cstheme="minorHAnsi"/>
          <w:lang w:eastAsia="en-GB"/>
        </w:rPr>
        <w:t>C/2060-79 = +2.8</w:t>
      </w:r>
      <w:r w:rsidR="000457FA" w:rsidRPr="003F6F88">
        <w:rPr>
          <w:rFonts w:asciiTheme="minorHAnsi" w:hAnsiTheme="minorHAnsi" w:cstheme="minorHAnsi"/>
          <w:vertAlign w:val="superscript"/>
          <w:lang w:eastAsia="en-GB"/>
        </w:rPr>
        <w:t>O</w:t>
      </w:r>
      <w:r w:rsidR="000457FA" w:rsidRPr="003F6F88">
        <w:rPr>
          <w:rFonts w:asciiTheme="minorHAnsi" w:hAnsiTheme="minorHAnsi" w:cstheme="minorHAnsi"/>
          <w:lang w:eastAsia="en-GB"/>
        </w:rPr>
        <w:t>C</w:t>
      </w:r>
      <w:r w:rsidR="00ED5335" w:rsidRPr="003F6F88">
        <w:rPr>
          <w:rFonts w:asciiTheme="minorHAnsi" w:hAnsiTheme="minorHAnsi" w:cstheme="minorHAnsi"/>
          <w:lang w:eastAsia="en-GB"/>
        </w:rPr>
        <w:t>/2080-2099 = +3.7</w:t>
      </w:r>
      <w:r w:rsidR="00ED5335" w:rsidRPr="003F6F88">
        <w:rPr>
          <w:rFonts w:asciiTheme="minorHAnsi" w:hAnsiTheme="minorHAnsi" w:cstheme="minorHAnsi"/>
          <w:vertAlign w:val="superscript"/>
          <w:lang w:eastAsia="en-GB"/>
        </w:rPr>
        <w:t>O</w:t>
      </w:r>
      <w:r w:rsidR="00ED5335" w:rsidRPr="003F6F88">
        <w:rPr>
          <w:rFonts w:asciiTheme="minorHAnsi" w:hAnsiTheme="minorHAnsi" w:cstheme="minorHAnsi"/>
          <w:lang w:eastAsia="en-GB"/>
        </w:rPr>
        <w:t>C (range: +2.6</w:t>
      </w:r>
      <w:r w:rsidR="00ED5335" w:rsidRPr="003F6F88">
        <w:rPr>
          <w:rFonts w:asciiTheme="minorHAnsi" w:hAnsiTheme="minorHAnsi" w:cstheme="minorHAnsi"/>
          <w:vertAlign w:val="superscript"/>
          <w:lang w:eastAsia="en-GB"/>
        </w:rPr>
        <w:t>O</w:t>
      </w:r>
      <w:r w:rsidR="00ED5335" w:rsidRPr="003F6F88">
        <w:rPr>
          <w:rFonts w:asciiTheme="minorHAnsi" w:hAnsiTheme="minorHAnsi" w:cstheme="minorHAnsi"/>
          <w:lang w:eastAsia="en-GB"/>
        </w:rPr>
        <w:t>C to + 5.2</w:t>
      </w:r>
      <w:r w:rsidR="00ED5335" w:rsidRPr="003F6F88">
        <w:rPr>
          <w:rFonts w:asciiTheme="minorHAnsi" w:hAnsiTheme="minorHAnsi" w:cstheme="minorHAnsi"/>
          <w:vertAlign w:val="superscript"/>
          <w:lang w:eastAsia="en-GB"/>
        </w:rPr>
        <w:t>O</w:t>
      </w:r>
      <w:r w:rsidR="00ED5335" w:rsidRPr="003F6F88">
        <w:rPr>
          <w:rFonts w:asciiTheme="minorHAnsi" w:hAnsiTheme="minorHAnsi" w:cstheme="minorHAnsi"/>
          <w:lang w:eastAsia="en-GB"/>
        </w:rPr>
        <w:t>C</w:t>
      </w:r>
      <w:r w:rsidR="005000E2" w:rsidRPr="003F6F88">
        <w:rPr>
          <w:rFonts w:asciiTheme="minorHAnsi" w:hAnsiTheme="minorHAnsi" w:cstheme="minorHAnsi"/>
          <w:lang w:eastAsia="en-GB"/>
        </w:rPr>
        <w:t xml:space="preserve"> with 10</w:t>
      </w:r>
      <w:r w:rsidR="005000E2" w:rsidRPr="003F6F88">
        <w:rPr>
          <w:rFonts w:asciiTheme="minorHAnsi" w:hAnsiTheme="minorHAnsi" w:cstheme="minorHAnsi"/>
          <w:vertAlign w:val="superscript"/>
          <w:lang w:eastAsia="en-GB"/>
        </w:rPr>
        <w:t>th</w:t>
      </w:r>
      <w:r w:rsidR="005000E2" w:rsidRPr="003F6F88">
        <w:rPr>
          <w:rFonts w:asciiTheme="minorHAnsi" w:hAnsiTheme="minorHAnsi" w:cstheme="minorHAnsi"/>
          <w:lang w:eastAsia="en-GB"/>
        </w:rPr>
        <w:t>- 90</w:t>
      </w:r>
      <w:r w:rsidR="005000E2" w:rsidRPr="003F6F88">
        <w:rPr>
          <w:rFonts w:asciiTheme="minorHAnsi" w:hAnsiTheme="minorHAnsi" w:cstheme="minorHAnsi"/>
          <w:vertAlign w:val="superscript"/>
          <w:lang w:eastAsia="en-GB"/>
        </w:rPr>
        <w:t>th</w:t>
      </w:r>
      <w:r w:rsidR="005000E2" w:rsidRPr="003F6F88">
        <w:rPr>
          <w:rFonts w:asciiTheme="minorHAnsi" w:hAnsiTheme="minorHAnsi" w:cstheme="minorHAnsi"/>
          <w:lang w:eastAsia="en-GB"/>
        </w:rPr>
        <w:t xml:space="preserve"> percentile)</w:t>
      </w:r>
      <w:r w:rsidRPr="003F6F88">
        <w:rPr>
          <w:rFonts w:asciiTheme="minorHAnsi" w:hAnsiTheme="minorHAnsi" w:cstheme="minorHAnsi"/>
          <w:lang w:eastAsia="en-GB"/>
        </w:rPr>
        <w:t>.</w:t>
      </w:r>
    </w:p>
    <w:p w14:paraId="000959A7" w14:textId="77777777" w:rsidR="000C248D" w:rsidRDefault="003F6F88" w:rsidP="007502D4">
      <w:pPr>
        <w:pStyle w:val="NormalWeb"/>
        <w:shd w:val="clear" w:color="auto" w:fill="FFFFFF"/>
        <w:ind w:left="851" w:hanging="142"/>
        <w:jc w:val="both"/>
        <w:rPr>
          <w:rFonts w:asciiTheme="minorHAnsi" w:hAnsiTheme="minorHAnsi" w:cstheme="minorHAnsi"/>
          <w:lang w:eastAsia="en-GB"/>
        </w:rPr>
      </w:pPr>
      <w:r w:rsidRPr="003F6F88">
        <w:rPr>
          <w:rFonts w:asciiTheme="minorHAnsi" w:hAnsiTheme="minorHAnsi" w:cstheme="minorHAnsi"/>
          <w:lang w:eastAsia="en-GB"/>
        </w:rPr>
        <w:t>b.</w:t>
      </w:r>
      <w:r>
        <w:rPr>
          <w:rFonts w:asciiTheme="minorHAnsi" w:hAnsiTheme="minorHAnsi" w:cstheme="minorHAnsi"/>
          <w:u w:val="single"/>
          <w:lang w:eastAsia="en-GB"/>
        </w:rPr>
        <w:t xml:space="preserve"> </w:t>
      </w:r>
      <w:r w:rsidR="000457FA" w:rsidRPr="003F6F88">
        <w:rPr>
          <w:rFonts w:asciiTheme="minorHAnsi" w:hAnsiTheme="minorHAnsi" w:cstheme="minorHAnsi"/>
          <w:u w:val="single"/>
          <w:lang w:eastAsia="en-GB"/>
        </w:rPr>
        <w:t>Media</w:t>
      </w:r>
      <w:r w:rsidR="00ED5335" w:rsidRPr="003F6F88">
        <w:rPr>
          <w:rFonts w:asciiTheme="minorHAnsi" w:hAnsiTheme="minorHAnsi" w:cstheme="minorHAnsi"/>
          <w:u w:val="single"/>
          <w:lang w:eastAsia="en-GB"/>
        </w:rPr>
        <w:t>n</w:t>
      </w:r>
      <w:r w:rsidR="000457FA" w:rsidRPr="003F6F88">
        <w:rPr>
          <w:rFonts w:asciiTheme="minorHAnsi" w:hAnsiTheme="minorHAnsi" w:cstheme="minorHAnsi"/>
          <w:u w:val="single"/>
          <w:lang w:eastAsia="en-GB"/>
        </w:rPr>
        <w:t xml:space="preserve"> precipitation anomaly</w:t>
      </w:r>
      <w:r w:rsidR="000457FA" w:rsidRPr="00C769CF">
        <w:rPr>
          <w:rFonts w:asciiTheme="minorHAnsi" w:hAnsiTheme="minorHAnsi" w:cstheme="minorHAnsi"/>
          <w:lang w:eastAsia="en-GB"/>
        </w:rPr>
        <w:t>: 2020-39 =</w:t>
      </w:r>
      <w:r w:rsidR="00ED5335" w:rsidRPr="00C769CF">
        <w:rPr>
          <w:rFonts w:asciiTheme="minorHAnsi" w:hAnsiTheme="minorHAnsi" w:cstheme="minorHAnsi"/>
          <w:lang w:eastAsia="en-GB"/>
        </w:rPr>
        <w:t xml:space="preserve"> +1.4mm/ 2040-59 = +2.9mm/ 2060-79 = +7.37mm/ 2080-99 = +13.6 (range: -26.0 to +63.1</w:t>
      </w:r>
      <w:r w:rsidR="005000E2" w:rsidRPr="00C769CF">
        <w:rPr>
          <w:rFonts w:asciiTheme="minorHAnsi" w:hAnsiTheme="minorHAnsi" w:cstheme="minorHAnsi"/>
          <w:lang w:eastAsia="en-GB"/>
        </w:rPr>
        <w:t xml:space="preserve"> with 10</w:t>
      </w:r>
      <w:r w:rsidR="005000E2" w:rsidRPr="00C769CF">
        <w:rPr>
          <w:rFonts w:asciiTheme="minorHAnsi" w:hAnsiTheme="minorHAnsi" w:cstheme="minorHAnsi"/>
          <w:vertAlign w:val="superscript"/>
          <w:lang w:eastAsia="en-GB"/>
        </w:rPr>
        <w:t>th</w:t>
      </w:r>
      <w:r w:rsidR="005000E2" w:rsidRPr="00C769CF">
        <w:rPr>
          <w:rFonts w:asciiTheme="minorHAnsi" w:hAnsiTheme="minorHAnsi" w:cstheme="minorHAnsi"/>
          <w:lang w:eastAsia="en-GB"/>
        </w:rPr>
        <w:t xml:space="preserve"> to 90</w:t>
      </w:r>
      <w:r w:rsidR="005000E2" w:rsidRPr="00C769CF">
        <w:rPr>
          <w:rFonts w:asciiTheme="minorHAnsi" w:hAnsiTheme="minorHAnsi" w:cstheme="minorHAnsi"/>
          <w:vertAlign w:val="superscript"/>
          <w:lang w:eastAsia="en-GB"/>
        </w:rPr>
        <w:t>th</w:t>
      </w:r>
      <w:r w:rsidR="005000E2" w:rsidRPr="00C769CF">
        <w:rPr>
          <w:rFonts w:asciiTheme="minorHAnsi" w:hAnsiTheme="minorHAnsi" w:cstheme="minorHAnsi"/>
          <w:lang w:eastAsia="en-GB"/>
        </w:rPr>
        <w:t xml:space="preserve"> percentile</w:t>
      </w:r>
      <w:r w:rsidR="00ED5335" w:rsidRPr="00C769CF">
        <w:rPr>
          <w:rFonts w:asciiTheme="minorHAnsi" w:hAnsiTheme="minorHAnsi" w:cstheme="minorHAnsi"/>
          <w:lang w:eastAsia="en-GB"/>
        </w:rPr>
        <w:t>).</w:t>
      </w:r>
      <w:r w:rsidR="008D07F1">
        <w:rPr>
          <w:rFonts w:asciiTheme="minorHAnsi" w:hAnsiTheme="minorHAnsi" w:cstheme="minorHAnsi"/>
          <w:lang w:eastAsia="en-GB"/>
        </w:rPr>
        <w:t xml:space="preserve">             </w:t>
      </w:r>
      <w:r w:rsidR="00ED5335">
        <w:rPr>
          <w:rFonts w:asciiTheme="minorHAnsi" w:hAnsiTheme="minorHAnsi" w:cstheme="minorHAnsi"/>
          <w:lang w:eastAsia="en-GB"/>
        </w:rPr>
        <w:t>(</w:t>
      </w:r>
      <w:r w:rsidR="00ED5335" w:rsidRPr="005000E2">
        <w:rPr>
          <w:rFonts w:asciiTheme="minorHAnsi" w:hAnsiTheme="minorHAnsi" w:cstheme="minorHAnsi"/>
          <w:b/>
          <w:bCs/>
          <w:lang w:eastAsia="en-GB"/>
        </w:rPr>
        <w:t>IDE comment</w:t>
      </w:r>
      <w:r w:rsidR="00ED5335">
        <w:rPr>
          <w:rFonts w:asciiTheme="minorHAnsi" w:hAnsiTheme="minorHAnsi" w:cstheme="minorHAnsi"/>
          <w:lang w:eastAsia="en-GB"/>
        </w:rPr>
        <w:t xml:space="preserve">: Compared with the two major rainforest ecosystems, </w:t>
      </w:r>
      <w:r w:rsidR="00BA4E28">
        <w:rPr>
          <w:rFonts w:asciiTheme="minorHAnsi" w:hAnsiTheme="minorHAnsi" w:cstheme="minorHAnsi"/>
          <w:lang w:eastAsia="en-GB"/>
        </w:rPr>
        <w:t>i.e.</w:t>
      </w:r>
      <w:r w:rsidR="00ED5335">
        <w:rPr>
          <w:rFonts w:asciiTheme="minorHAnsi" w:hAnsiTheme="minorHAnsi" w:cstheme="minorHAnsi"/>
          <w:lang w:eastAsia="en-GB"/>
        </w:rPr>
        <w:t xml:space="preserve"> the Amazon </w:t>
      </w:r>
      <w:r w:rsidR="00ED5335">
        <w:rPr>
          <w:rFonts w:asciiTheme="minorHAnsi" w:hAnsiTheme="minorHAnsi" w:cstheme="minorHAnsi"/>
          <w:lang w:eastAsia="en-GB"/>
        </w:rPr>
        <w:lastRenderedPageBreak/>
        <w:t xml:space="preserve">and Congo basins, Uganda has the advantage of being on a plateau with a </w:t>
      </w:r>
      <w:r w:rsidR="00FC4350">
        <w:rPr>
          <w:rFonts w:asciiTheme="minorHAnsi" w:hAnsiTheme="minorHAnsi" w:cstheme="minorHAnsi"/>
          <w:lang w:eastAsia="en-GB"/>
        </w:rPr>
        <w:t>6-7</w:t>
      </w:r>
      <w:r w:rsidR="00ED5335" w:rsidRPr="00ED5335">
        <w:rPr>
          <w:rFonts w:asciiTheme="minorHAnsi" w:hAnsiTheme="minorHAnsi" w:cs="Calibri (Body)"/>
          <w:vertAlign w:val="superscript"/>
          <w:lang w:eastAsia="en-GB"/>
        </w:rPr>
        <w:t>O</w:t>
      </w:r>
      <w:r w:rsidR="00ED5335">
        <w:rPr>
          <w:rFonts w:asciiTheme="minorHAnsi" w:hAnsiTheme="minorHAnsi" w:cstheme="minorHAnsi"/>
          <w:lang w:eastAsia="en-GB"/>
        </w:rPr>
        <w:t xml:space="preserve">C cooler temperature regime for its equatorial location (on account of the </w:t>
      </w:r>
      <w:r w:rsidR="004D602B">
        <w:rPr>
          <w:rFonts w:asciiTheme="minorHAnsi" w:hAnsiTheme="minorHAnsi" w:cstheme="minorHAnsi"/>
          <w:lang w:eastAsia="en-GB"/>
        </w:rPr>
        <w:t xml:space="preserve">troposphere Environmental Lapse Rate (ERL) </w:t>
      </w:r>
      <w:r w:rsidR="00ED5335">
        <w:rPr>
          <w:rFonts w:asciiTheme="minorHAnsi" w:hAnsiTheme="minorHAnsi" w:cstheme="minorHAnsi"/>
          <w:lang w:eastAsia="en-GB"/>
        </w:rPr>
        <w:t xml:space="preserve">of </w:t>
      </w:r>
      <w:r w:rsidR="00FC4350">
        <w:rPr>
          <w:rFonts w:asciiTheme="minorHAnsi" w:hAnsiTheme="minorHAnsi" w:cstheme="minorHAnsi"/>
          <w:lang w:eastAsia="en-GB"/>
        </w:rPr>
        <w:t>6.5</w:t>
      </w:r>
      <w:r w:rsidR="005000E2" w:rsidRPr="005000E2">
        <w:rPr>
          <w:rFonts w:asciiTheme="minorHAnsi" w:hAnsiTheme="minorHAnsi" w:cs="Calibri (Body)"/>
          <w:vertAlign w:val="superscript"/>
          <w:lang w:eastAsia="en-GB"/>
        </w:rPr>
        <w:t>O</w:t>
      </w:r>
      <w:r w:rsidR="005000E2">
        <w:rPr>
          <w:rFonts w:asciiTheme="minorHAnsi" w:hAnsiTheme="minorHAnsi" w:cstheme="minorHAnsi"/>
          <w:lang w:eastAsia="en-GB"/>
        </w:rPr>
        <w:t>C</w:t>
      </w:r>
      <w:r w:rsidR="004D602B">
        <w:rPr>
          <w:rFonts w:asciiTheme="minorHAnsi" w:hAnsiTheme="minorHAnsi" w:cstheme="minorHAnsi"/>
          <w:lang w:eastAsia="en-GB"/>
        </w:rPr>
        <w:t>/km</w:t>
      </w:r>
      <w:r w:rsidR="00ED5335">
        <w:rPr>
          <w:rFonts w:asciiTheme="minorHAnsi" w:hAnsiTheme="minorHAnsi" w:cstheme="minorHAnsi"/>
          <w:lang w:eastAsia="en-GB"/>
        </w:rPr>
        <w:t>).</w:t>
      </w:r>
      <w:r w:rsidR="00FC4350">
        <w:rPr>
          <w:rFonts w:asciiTheme="minorHAnsi" w:hAnsiTheme="minorHAnsi" w:cstheme="minorHAnsi"/>
          <w:lang w:eastAsia="en-GB"/>
        </w:rPr>
        <w:t xml:space="preserve">  </w:t>
      </w:r>
      <w:r w:rsidR="002C0325">
        <w:rPr>
          <w:rFonts w:asciiTheme="minorHAnsi" w:hAnsiTheme="minorHAnsi" w:cstheme="minorHAnsi"/>
          <w:lang w:eastAsia="en-GB"/>
        </w:rPr>
        <w:t xml:space="preserve">Manaus </w:t>
      </w:r>
      <w:r w:rsidR="009410E9">
        <w:rPr>
          <w:rFonts w:asciiTheme="minorHAnsi" w:hAnsiTheme="minorHAnsi" w:cstheme="minorHAnsi"/>
          <w:lang w:eastAsia="en-GB"/>
        </w:rPr>
        <w:t xml:space="preserve">in central Amazonia can expect a </w:t>
      </w:r>
      <w:r w:rsidR="009410E9" w:rsidRPr="009410E9">
        <w:rPr>
          <w:rFonts w:asciiTheme="minorHAnsi" w:hAnsiTheme="minorHAnsi" w:cstheme="minorHAnsi"/>
          <w:u w:val="single"/>
          <w:lang w:eastAsia="en-GB"/>
        </w:rPr>
        <w:t>median</w:t>
      </w:r>
      <w:r w:rsidR="009410E9">
        <w:rPr>
          <w:rFonts w:asciiTheme="minorHAnsi" w:hAnsiTheme="minorHAnsi" w:cstheme="minorHAnsi"/>
          <w:lang w:eastAsia="en-GB"/>
        </w:rPr>
        <w:t xml:space="preserve"> monthly increase of 4-6</w:t>
      </w:r>
      <w:r w:rsidR="009410E9" w:rsidRPr="009410E9">
        <w:rPr>
          <w:rFonts w:asciiTheme="minorHAnsi" w:hAnsiTheme="minorHAnsi" w:cs="Calibri (Body)"/>
          <w:vertAlign w:val="superscript"/>
          <w:lang w:eastAsia="en-GB"/>
        </w:rPr>
        <w:t>O</w:t>
      </w:r>
      <w:r w:rsidR="009410E9">
        <w:rPr>
          <w:rFonts w:asciiTheme="minorHAnsi" w:hAnsiTheme="minorHAnsi" w:cstheme="minorHAnsi"/>
          <w:lang w:eastAsia="en-GB"/>
        </w:rPr>
        <w:t>C from current temperatures of 30.9 to 33.4</w:t>
      </w:r>
      <w:r w:rsidR="009410E9" w:rsidRPr="009410E9">
        <w:rPr>
          <w:rFonts w:asciiTheme="minorHAnsi" w:hAnsiTheme="minorHAnsi" w:cs="Calibri (Body)"/>
          <w:vertAlign w:val="superscript"/>
          <w:lang w:eastAsia="en-GB"/>
        </w:rPr>
        <w:t>O</w:t>
      </w:r>
      <w:r w:rsidR="009410E9">
        <w:rPr>
          <w:rFonts w:asciiTheme="minorHAnsi" w:hAnsiTheme="minorHAnsi" w:cstheme="minorHAnsi"/>
          <w:lang w:eastAsia="en-GB"/>
        </w:rPr>
        <w:t xml:space="preserve">C.  </w:t>
      </w:r>
    </w:p>
    <w:p w14:paraId="2C0C4DD8" w14:textId="694EA5A6" w:rsidR="009F5A56" w:rsidRPr="00432D9A" w:rsidRDefault="000C248D" w:rsidP="000C248D">
      <w:pPr>
        <w:pStyle w:val="NormalWeb"/>
        <w:shd w:val="clear" w:color="auto" w:fill="FFFFFF"/>
        <w:ind w:left="709" w:hanging="283"/>
        <w:jc w:val="both"/>
        <w:rPr>
          <w:rFonts w:asciiTheme="minorHAnsi" w:hAnsiTheme="minorHAnsi" w:cstheme="minorHAnsi"/>
          <w:lang w:eastAsia="en-GB"/>
        </w:rPr>
      </w:pPr>
      <w:r>
        <w:rPr>
          <w:rFonts w:asciiTheme="minorHAnsi" w:hAnsiTheme="minorHAnsi" w:cstheme="minorHAnsi"/>
          <w:lang w:eastAsia="en-GB"/>
        </w:rPr>
        <w:t xml:space="preserve">2. </w:t>
      </w:r>
      <w:r w:rsidR="00303E9E" w:rsidRPr="00432D9A">
        <w:rPr>
          <w:rFonts w:cstheme="minorHAnsi"/>
          <w:b/>
          <w:bCs/>
          <w:lang w:eastAsia="en-GB"/>
        </w:rPr>
        <w:t>Teskey, Robert et al. (2015)</w:t>
      </w:r>
      <w:r w:rsidR="00303E9E" w:rsidRPr="00432D9A">
        <w:rPr>
          <w:rFonts w:cstheme="minorHAnsi"/>
          <w:lang w:eastAsia="en-GB"/>
        </w:rPr>
        <w:t xml:space="preserve"> </w:t>
      </w:r>
      <w:r w:rsidR="00303E9E" w:rsidRPr="00432D9A">
        <w:rPr>
          <w:rFonts w:cstheme="minorHAnsi"/>
          <w:b/>
          <w:bCs/>
          <w:lang w:eastAsia="en-GB"/>
        </w:rPr>
        <w:t>Responses of tree species to heat waves and extreme heat events.</w:t>
      </w:r>
      <w:r w:rsidR="00303E9E" w:rsidRPr="00432D9A">
        <w:rPr>
          <w:rFonts w:cstheme="minorHAnsi"/>
          <w:lang w:eastAsia="en-GB"/>
        </w:rPr>
        <w:t xml:space="preserve"> </w:t>
      </w:r>
      <w:r w:rsidR="00303E9E" w:rsidRPr="000C248D">
        <w:rPr>
          <w:rFonts w:cstheme="minorHAnsi"/>
          <w:u w:val="single"/>
          <w:lang w:eastAsia="en-GB"/>
        </w:rPr>
        <w:t>Plant, Cell and Environment</w:t>
      </w:r>
      <w:r w:rsidR="00303E9E" w:rsidRPr="00432D9A">
        <w:rPr>
          <w:rFonts w:cstheme="minorHAnsi"/>
          <w:lang w:eastAsia="en-GB"/>
        </w:rPr>
        <w:t xml:space="preserve"> 2015, v38, 1699-1712. doi.10.1111/pce.12417. </w:t>
      </w:r>
      <w:r w:rsidR="00303E9E" w:rsidRPr="00432D9A">
        <w:rPr>
          <w:rFonts w:cstheme="minorHAnsi"/>
          <w:color w:val="231F20"/>
          <w:lang w:eastAsia="en-GB"/>
        </w:rPr>
        <w:t>Trees are well adapted to survive transient</w:t>
      </w:r>
      <w:r w:rsidR="00B457AD" w:rsidRPr="00432D9A">
        <w:rPr>
          <w:rFonts w:cstheme="minorHAnsi"/>
          <w:color w:val="231F20"/>
          <w:lang w:eastAsia="en-GB"/>
        </w:rPr>
        <w:t xml:space="preserve"> </w:t>
      </w:r>
      <w:r w:rsidR="00303E9E" w:rsidRPr="00432D9A">
        <w:rPr>
          <w:rFonts w:cstheme="minorHAnsi"/>
          <w:color w:val="231F20"/>
          <w:lang w:eastAsia="en-GB"/>
        </w:rPr>
        <w:t>extreme heat events, although these events reduce carbon</w:t>
      </w:r>
      <w:r w:rsidR="00B457AD" w:rsidRPr="00432D9A">
        <w:rPr>
          <w:rFonts w:cstheme="minorHAnsi"/>
          <w:color w:val="231F20"/>
          <w:lang w:eastAsia="en-GB"/>
        </w:rPr>
        <w:t xml:space="preserve"> </w:t>
      </w:r>
      <w:r w:rsidR="00303E9E" w:rsidRPr="00432D9A">
        <w:rPr>
          <w:rFonts w:cstheme="minorHAnsi"/>
          <w:color w:val="231F20"/>
          <w:lang w:eastAsia="en-GB"/>
        </w:rPr>
        <w:t>gain and growth. Heat stress and drought stress are often</w:t>
      </w:r>
      <w:r w:rsidR="00B457AD" w:rsidRPr="00432D9A">
        <w:rPr>
          <w:rFonts w:cstheme="minorHAnsi"/>
          <w:color w:val="231F20"/>
          <w:lang w:eastAsia="en-GB"/>
        </w:rPr>
        <w:t xml:space="preserve"> </w:t>
      </w:r>
      <w:r w:rsidR="00303E9E" w:rsidRPr="00432D9A">
        <w:rPr>
          <w:rFonts w:cstheme="minorHAnsi"/>
          <w:color w:val="231F20"/>
          <w:lang w:eastAsia="en-GB"/>
        </w:rPr>
        <w:t>linked, and each tends to amplify the stress caused by the</w:t>
      </w:r>
      <w:r w:rsidR="00E80460" w:rsidRPr="00432D9A">
        <w:rPr>
          <w:rFonts w:cstheme="minorHAnsi"/>
          <w:color w:val="231F20"/>
          <w:lang w:eastAsia="en-GB"/>
        </w:rPr>
        <w:t xml:space="preserve"> other. Mortality from drought is far more likely than mortality from heat stress, but the severity of drought stress, and the speed of its onset, is greatly increased under high temperatures. Similarly, drought can exacerbate the effect of heat stress.</w:t>
      </w:r>
      <w:r w:rsidR="005075F6" w:rsidRPr="00432D9A">
        <w:rPr>
          <w:rFonts w:cstheme="minorHAnsi"/>
          <w:color w:val="231F20"/>
          <w:lang w:eastAsia="en-GB"/>
        </w:rPr>
        <w:t xml:space="preserve">  </w:t>
      </w:r>
    </w:p>
    <w:p w14:paraId="21CD0832" w14:textId="022B6ECF" w:rsidR="00B21E28" w:rsidRPr="00432D9A" w:rsidRDefault="005075F6" w:rsidP="00432D9A">
      <w:pPr>
        <w:pStyle w:val="ListParagraph"/>
        <w:jc w:val="both"/>
        <w:rPr>
          <w:rFonts w:eastAsia="Times New Roman" w:cstheme="minorHAnsi"/>
          <w:color w:val="231F20"/>
          <w:lang w:eastAsia="en-GB"/>
        </w:rPr>
      </w:pPr>
      <w:r>
        <w:rPr>
          <w:rFonts w:eastAsia="Times New Roman" w:cstheme="minorHAnsi"/>
          <w:color w:val="231F20"/>
          <w:lang w:eastAsia="en-GB"/>
        </w:rPr>
        <w:t xml:space="preserve">(IDE Comment: </w:t>
      </w:r>
      <w:r w:rsidR="001E44D4">
        <w:rPr>
          <w:rFonts w:eastAsia="Times New Roman" w:cstheme="minorHAnsi"/>
          <w:color w:val="231F20"/>
          <w:lang w:eastAsia="en-GB"/>
        </w:rPr>
        <w:t xml:space="preserve"> IPCC </w:t>
      </w:r>
      <w:r w:rsidR="00B21E28">
        <w:rPr>
          <w:rFonts w:eastAsia="Times New Roman" w:cstheme="minorHAnsi"/>
          <w:color w:val="231F20"/>
          <w:lang w:eastAsia="en-GB"/>
        </w:rPr>
        <w:t>5</w:t>
      </w:r>
      <w:r w:rsidR="00B21E28" w:rsidRPr="00B21E28">
        <w:rPr>
          <w:rFonts w:eastAsia="Times New Roman" w:cstheme="minorHAnsi"/>
          <w:color w:val="231F20"/>
          <w:vertAlign w:val="superscript"/>
          <w:lang w:eastAsia="en-GB"/>
        </w:rPr>
        <w:t>th</w:t>
      </w:r>
      <w:r w:rsidR="00B21E28">
        <w:rPr>
          <w:rFonts w:eastAsia="Times New Roman" w:cstheme="minorHAnsi"/>
          <w:color w:val="231F20"/>
          <w:lang w:eastAsia="en-GB"/>
        </w:rPr>
        <w:t xml:space="preserve"> Assessment (2015) indicated median prediction of increased precipitation.  </w:t>
      </w:r>
    </w:p>
    <w:p w14:paraId="0CC99127" w14:textId="5D8F98E9" w:rsidR="003F6F88" w:rsidRPr="003F6F88" w:rsidRDefault="009F5A56" w:rsidP="00705CF2">
      <w:pPr>
        <w:pStyle w:val="ListParagraph"/>
        <w:numPr>
          <w:ilvl w:val="0"/>
          <w:numId w:val="21"/>
        </w:numPr>
        <w:jc w:val="both"/>
        <w:rPr>
          <w:rFonts w:cstheme="minorHAnsi"/>
          <w:color w:val="111111"/>
          <w:shd w:val="clear" w:color="auto" w:fill="FFFFFF"/>
        </w:rPr>
      </w:pPr>
      <w:r w:rsidRPr="004A3CF4">
        <w:rPr>
          <w:rFonts w:cstheme="minorHAnsi"/>
          <w:b/>
          <w:bCs/>
          <w:color w:val="000000"/>
        </w:rPr>
        <w:t>Hubau, W. et al (2020)</w:t>
      </w:r>
      <w:r w:rsidRPr="009F5A56">
        <w:rPr>
          <w:rFonts w:cstheme="minorHAnsi"/>
          <w:color w:val="000000"/>
        </w:rPr>
        <w:t xml:space="preserve"> </w:t>
      </w:r>
      <w:r w:rsidRPr="001E44D4">
        <w:rPr>
          <w:rFonts w:cstheme="minorHAnsi"/>
          <w:b/>
          <w:bCs/>
          <w:color w:val="000000"/>
        </w:rPr>
        <w:t>Asynchronous carbon sink saturation in African and Amazonian tropical forests.</w:t>
      </w:r>
      <w:r w:rsidRPr="009F5A56">
        <w:rPr>
          <w:rFonts w:cstheme="minorHAnsi"/>
          <w:color w:val="000000"/>
        </w:rPr>
        <w:t xml:space="preserve"> </w:t>
      </w:r>
      <w:r w:rsidRPr="009F5A56">
        <w:rPr>
          <w:rFonts w:cstheme="minorHAnsi"/>
          <w:color w:val="000000"/>
          <w:u w:val="single"/>
        </w:rPr>
        <w:t>Nature</w:t>
      </w:r>
      <w:r w:rsidRPr="009F5A56">
        <w:rPr>
          <w:rFonts w:cstheme="minorHAnsi"/>
          <w:color w:val="000000"/>
        </w:rPr>
        <w:t xml:space="preserve"> Vol.5795, March 2020. </w:t>
      </w:r>
      <w:hyperlink r:id="rId24" w:history="1">
        <w:r w:rsidRPr="009F5A56">
          <w:rPr>
            <w:rFonts w:cstheme="minorHAnsi"/>
            <w:color w:val="000000"/>
            <w:u w:val="single"/>
          </w:rPr>
          <w:t>https://doi.org/10.1028/S41586-020-20350</w:t>
        </w:r>
      </w:hyperlink>
      <w:r w:rsidRPr="009F5A56">
        <w:rPr>
          <w:rFonts w:cstheme="minorHAnsi"/>
          <w:color w:val="000000"/>
        </w:rPr>
        <w:t>.</w:t>
      </w:r>
      <w:r w:rsidRPr="009F5A56">
        <w:rPr>
          <w:rFonts w:ascii="Helvetica Neue" w:hAnsi="Helvetica Neue" w:cs="Helvetica Neue"/>
          <w:color w:val="000000"/>
          <w:sz w:val="22"/>
          <w:szCs w:val="22"/>
        </w:rPr>
        <w:t xml:space="preserve"> </w:t>
      </w:r>
      <w:r w:rsidRPr="009F5A56">
        <w:rPr>
          <w:rFonts w:cstheme="minorHAnsi"/>
          <w:color w:val="000000"/>
        </w:rPr>
        <w:t>Recent scientific studies have indicated that of the two major global tropical rainforest regions, Amazonia and Africa, it is the latter which is showing the greater resilience given the environmental stresses of global warming.</w:t>
      </w:r>
      <w:r>
        <w:rPr>
          <w:rFonts w:cstheme="minorHAnsi"/>
          <w:color w:val="000000"/>
        </w:rPr>
        <w:t xml:space="preserve"> </w:t>
      </w:r>
    </w:p>
    <w:p w14:paraId="43FB0C4A" w14:textId="230D9BFB" w:rsidR="000243AE" w:rsidRPr="003F1A85" w:rsidRDefault="000C77E6" w:rsidP="003F1A85">
      <w:pPr>
        <w:pStyle w:val="ListParagraph"/>
        <w:jc w:val="both"/>
        <w:rPr>
          <w:rFonts w:cstheme="minorHAnsi"/>
          <w:color w:val="111111"/>
          <w:shd w:val="clear" w:color="auto" w:fill="FFFFFF"/>
        </w:rPr>
      </w:pPr>
      <w:r>
        <w:rPr>
          <w:rFonts w:cstheme="minorHAnsi"/>
          <w:noProof/>
          <w:color w:val="111111"/>
          <w:shd w:val="clear" w:color="auto" w:fill="FFFFFF"/>
        </w:rPr>
        <w:drawing>
          <wp:inline distT="0" distB="0" distL="0" distR="0" wp14:anchorId="70D9B310" wp14:editId="08242E75">
            <wp:extent cx="4797778" cy="2985048"/>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 Hubau char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81781" cy="3037313"/>
                    </a:xfrm>
                    <a:prstGeom prst="rect">
                      <a:avLst/>
                    </a:prstGeom>
                  </pic:spPr>
                </pic:pic>
              </a:graphicData>
            </a:graphic>
          </wp:inline>
        </w:drawing>
      </w:r>
    </w:p>
    <w:p w14:paraId="7CB0F706" w14:textId="77777777" w:rsidR="00432D9A" w:rsidRDefault="000243AE" w:rsidP="00432D9A">
      <w:pPr>
        <w:pStyle w:val="ListParagraph"/>
        <w:numPr>
          <w:ilvl w:val="0"/>
          <w:numId w:val="21"/>
        </w:numPr>
        <w:spacing w:after="225"/>
        <w:outlineLvl w:val="0"/>
        <w:rPr>
          <w:rFonts w:cstheme="minorHAnsi"/>
          <w:color w:val="666666"/>
        </w:rPr>
      </w:pPr>
      <w:r w:rsidRPr="000243AE">
        <w:rPr>
          <w:rFonts w:cstheme="minorHAnsi"/>
          <w:b/>
          <w:bCs/>
          <w:color w:val="666666"/>
        </w:rPr>
        <w:t>Martin J.P., Lewis, Simon L., Affum-Baffoe, Kofi et al. (2020)</w:t>
      </w:r>
      <w:r w:rsidRPr="000243AE">
        <w:rPr>
          <w:rFonts w:cstheme="minorHAnsi"/>
          <w:b/>
          <w:bCs/>
          <w:kern w:val="36"/>
        </w:rPr>
        <w:t>.</w:t>
      </w:r>
      <w:r w:rsidRPr="000243AE">
        <w:rPr>
          <w:rFonts w:cstheme="minorHAnsi"/>
          <w:kern w:val="36"/>
        </w:rPr>
        <w:t xml:space="preserve"> </w:t>
      </w:r>
      <w:r w:rsidRPr="000243AE">
        <w:rPr>
          <w:rFonts w:cstheme="minorHAnsi"/>
          <w:b/>
          <w:bCs/>
          <w:kern w:val="36"/>
        </w:rPr>
        <w:t>Long-term thermal sensitivity of Earth’s tropical forests</w:t>
      </w:r>
      <w:r w:rsidRPr="000243AE">
        <w:rPr>
          <w:rFonts w:cstheme="minorHAnsi"/>
          <w:kern w:val="36"/>
        </w:rPr>
        <w:t xml:space="preserve">. </w:t>
      </w:r>
      <w:r w:rsidRPr="000243AE">
        <w:rPr>
          <w:rFonts w:cstheme="minorHAnsi"/>
          <w:color w:val="666666"/>
          <w:u w:val="single"/>
        </w:rPr>
        <w:t xml:space="preserve">Science </w:t>
      </w:r>
      <w:r w:rsidRPr="000243AE">
        <w:rPr>
          <w:rFonts w:cstheme="minorHAnsi"/>
          <w:color w:val="666666"/>
        </w:rPr>
        <w:t>v.368, 6493, pp.869-874 DOI:10.1126/science.aaw7578</w:t>
      </w:r>
      <w:r>
        <w:rPr>
          <w:rFonts w:cstheme="minorHAnsi"/>
          <w:color w:val="666666"/>
        </w:rPr>
        <w:t xml:space="preserve">. </w:t>
      </w:r>
      <w:r w:rsidRPr="000243AE">
        <w:rPr>
          <w:rFonts w:cstheme="minorHAnsi"/>
          <w:color w:val="666666"/>
        </w:rPr>
        <w:t>The research indicates that forest thermal sensitivity is dominated by high daytime temperatures which depresses growth rates and shortens the time that carbon resides in the ecosystem by killing trees under hot dry conditions. The effect of temperature is worse above 32</w:t>
      </w:r>
      <w:r w:rsidRPr="000243AE">
        <w:rPr>
          <w:rFonts w:cstheme="minorHAnsi"/>
          <w:color w:val="666666"/>
          <w:vertAlign w:val="superscript"/>
        </w:rPr>
        <w:t>o</w:t>
      </w:r>
      <w:r w:rsidRPr="000243AE">
        <w:rPr>
          <w:rFonts w:cstheme="minorHAnsi"/>
          <w:color w:val="666666"/>
        </w:rPr>
        <w:t>C. However, under moderate climate change forest carbon stocks are likely to remain higher.</w:t>
      </w:r>
      <w:r>
        <w:rPr>
          <w:rFonts w:cstheme="minorHAnsi"/>
          <w:color w:val="666666"/>
        </w:rPr>
        <w:t xml:space="preserve">             </w:t>
      </w:r>
      <w:r w:rsidRPr="000243AE">
        <w:rPr>
          <w:rFonts w:cstheme="minorHAnsi"/>
          <w:color w:val="666666"/>
        </w:rPr>
        <w:t xml:space="preserve"> (</w:t>
      </w:r>
      <w:r w:rsidRPr="000243AE">
        <w:rPr>
          <w:rFonts w:cstheme="minorHAnsi"/>
          <w:b/>
          <w:bCs/>
          <w:color w:val="666666"/>
          <w:u w:val="single"/>
        </w:rPr>
        <w:t>IDE comment</w:t>
      </w:r>
      <w:r w:rsidRPr="000243AE">
        <w:rPr>
          <w:rFonts w:cstheme="minorHAnsi"/>
          <w:b/>
          <w:bCs/>
          <w:color w:val="666666"/>
        </w:rPr>
        <w:t>:</w:t>
      </w:r>
      <w:r w:rsidRPr="000243AE">
        <w:rPr>
          <w:rFonts w:cstheme="minorHAnsi"/>
          <w:color w:val="666666"/>
        </w:rPr>
        <w:t xml:space="preserve"> Uganda’s altitude keeps max. daytime temperatures well below the critical 32</w:t>
      </w:r>
      <w:r w:rsidRPr="000243AE">
        <w:rPr>
          <w:rFonts w:cstheme="minorHAnsi"/>
          <w:color w:val="666666"/>
          <w:vertAlign w:val="superscript"/>
        </w:rPr>
        <w:t>o</w:t>
      </w:r>
      <w:r w:rsidRPr="000243AE">
        <w:rPr>
          <w:rFonts w:cstheme="minorHAnsi"/>
          <w:color w:val="666666"/>
        </w:rPr>
        <w:t xml:space="preserve">C protecting forests from high temperature stress for the longer term than Amazonian and Central African rainforests). </w:t>
      </w:r>
    </w:p>
    <w:p w14:paraId="009B9948" w14:textId="6E25E558" w:rsidR="00A91AE2" w:rsidRPr="000C248D" w:rsidRDefault="008D710B" w:rsidP="000C248D">
      <w:pPr>
        <w:pStyle w:val="ListParagraph"/>
        <w:numPr>
          <w:ilvl w:val="0"/>
          <w:numId w:val="21"/>
        </w:numPr>
        <w:spacing w:after="225"/>
        <w:outlineLvl w:val="0"/>
        <w:rPr>
          <w:rFonts w:cstheme="minorHAnsi"/>
          <w:color w:val="666666"/>
        </w:rPr>
      </w:pPr>
      <w:r w:rsidRPr="00432D9A">
        <w:rPr>
          <w:rFonts w:cstheme="minorHAnsi"/>
          <w:b/>
          <w:bCs/>
          <w:lang w:eastAsia="en-GB"/>
        </w:rPr>
        <w:t>Lake Victoria Basin Commission</w:t>
      </w:r>
      <w:r w:rsidRPr="00432D9A">
        <w:rPr>
          <w:rFonts w:cstheme="minorHAnsi"/>
          <w:lang w:eastAsia="en-GB"/>
        </w:rPr>
        <w:t>.</w:t>
      </w:r>
      <w:r w:rsidRPr="00432D9A">
        <w:rPr>
          <w:rFonts w:cstheme="minorHAnsi"/>
          <w:b/>
          <w:bCs/>
          <w:lang w:eastAsia="en-GB"/>
        </w:rPr>
        <w:t xml:space="preserve"> </w:t>
      </w:r>
      <w:r w:rsidR="00DE0130" w:rsidRPr="00432D9A">
        <w:rPr>
          <w:rFonts w:cstheme="minorHAnsi"/>
          <w:b/>
          <w:bCs/>
          <w:lang w:eastAsia="en-GB"/>
        </w:rPr>
        <w:t>(</w:t>
      </w:r>
      <w:r w:rsidRPr="00432D9A">
        <w:rPr>
          <w:rFonts w:cstheme="minorHAnsi"/>
          <w:lang w:eastAsia="en-GB"/>
        </w:rPr>
        <w:t>nd</w:t>
      </w:r>
      <w:r w:rsidR="00DE0130" w:rsidRPr="00432D9A">
        <w:rPr>
          <w:rFonts w:cstheme="minorHAnsi"/>
          <w:b/>
          <w:bCs/>
          <w:lang w:eastAsia="en-GB"/>
        </w:rPr>
        <w:t>)</w:t>
      </w:r>
      <w:r w:rsidRPr="00432D9A">
        <w:rPr>
          <w:rFonts w:cstheme="minorHAnsi"/>
          <w:b/>
          <w:bCs/>
          <w:lang w:eastAsia="en-GB"/>
        </w:rPr>
        <w:t xml:space="preserve"> Lake Victoria Basin Climate Change Adaptation Strategies &amp; Action Plan 2018-2023. </w:t>
      </w:r>
      <w:r w:rsidR="00C769CF" w:rsidRPr="00432D9A">
        <w:rPr>
          <w:rFonts w:cstheme="minorHAnsi"/>
          <w:lang w:eastAsia="en-GB"/>
        </w:rPr>
        <w:t>Pp58</w:t>
      </w:r>
      <w:r w:rsidR="00C769CF" w:rsidRPr="00432D9A">
        <w:rPr>
          <w:rFonts w:cstheme="minorHAnsi"/>
          <w:b/>
          <w:bCs/>
          <w:lang w:eastAsia="en-GB"/>
        </w:rPr>
        <w:t xml:space="preserve">.  </w:t>
      </w:r>
      <w:r w:rsidR="00C769CF" w:rsidRPr="00432D9A">
        <w:rPr>
          <w:rFonts w:cstheme="minorHAnsi"/>
          <w:lang w:eastAsia="en-GB"/>
        </w:rPr>
        <w:t>The report distinguishes between the long rains from late March to June (MAMJ) and the short rains from early Oct to Dec (OND)</w:t>
      </w:r>
      <w:r w:rsidR="00C769CF" w:rsidRPr="00432D9A">
        <w:rPr>
          <w:rFonts w:cstheme="minorHAnsi"/>
          <w:b/>
          <w:bCs/>
          <w:lang w:eastAsia="en-GB"/>
        </w:rPr>
        <w:t xml:space="preserve">. El Niño </w:t>
      </w:r>
      <w:r w:rsidR="00C769CF" w:rsidRPr="00432D9A">
        <w:rPr>
          <w:rFonts w:cstheme="minorHAnsi"/>
          <w:lang w:eastAsia="en-GB"/>
        </w:rPr>
        <w:t xml:space="preserve">result in above normal rains, whilst </w:t>
      </w:r>
      <w:r w:rsidR="00C769CF" w:rsidRPr="00432D9A">
        <w:rPr>
          <w:rFonts w:cstheme="minorHAnsi"/>
          <w:b/>
          <w:bCs/>
          <w:lang w:eastAsia="en-GB"/>
        </w:rPr>
        <w:t xml:space="preserve">El Niña </w:t>
      </w:r>
      <w:r w:rsidR="00C769CF" w:rsidRPr="00432D9A">
        <w:rPr>
          <w:rFonts w:cstheme="minorHAnsi"/>
          <w:lang w:eastAsia="en-GB"/>
        </w:rPr>
        <w:t xml:space="preserve">in below normal rains. These two oscillations (ENSO) have occurred approx. every five years since 1970 but can vary from 2- 7 yrs.  Trend analysis shows a long-term decline in </w:t>
      </w:r>
      <w:r w:rsidR="00C769CF" w:rsidRPr="00432D9A">
        <w:rPr>
          <w:rFonts w:cstheme="minorHAnsi"/>
          <w:lang w:eastAsia="en-GB"/>
        </w:rPr>
        <w:lastRenderedPageBreak/>
        <w:t>precipitation for the long rains (MAMJ) with drier periods getting longer and more pronounced.  Trends also indicate total rainfall in the short rains (OND) has increased a</w:t>
      </w:r>
      <w:r w:rsidR="000C248D">
        <w:rPr>
          <w:rFonts w:cstheme="minorHAnsi"/>
          <w:lang w:eastAsia="en-GB"/>
        </w:rPr>
        <w:t>n</w:t>
      </w:r>
      <w:r w:rsidR="00C769CF" w:rsidRPr="00432D9A">
        <w:rPr>
          <w:rFonts w:cstheme="minorHAnsi"/>
          <w:lang w:eastAsia="en-GB"/>
        </w:rPr>
        <w:t xml:space="preserve">d modelling suggests this trend is likely to continue. </w:t>
      </w:r>
    </w:p>
    <w:p w14:paraId="7B9EB43F" w14:textId="0B5B597F" w:rsidR="000243AE" w:rsidRPr="000C248D" w:rsidRDefault="00AB578E" w:rsidP="000243AE">
      <w:pPr>
        <w:pStyle w:val="NormalWeb"/>
        <w:numPr>
          <w:ilvl w:val="0"/>
          <w:numId w:val="21"/>
        </w:numPr>
        <w:shd w:val="clear" w:color="auto" w:fill="FFFFFF"/>
        <w:jc w:val="both"/>
        <w:rPr>
          <w:rFonts w:asciiTheme="minorHAnsi" w:hAnsiTheme="minorHAnsi" w:cstheme="minorHAnsi"/>
          <w:lang w:eastAsia="en-GB"/>
        </w:rPr>
      </w:pPr>
      <w:r w:rsidRPr="004A3CF4">
        <w:rPr>
          <w:rFonts w:asciiTheme="minorHAnsi" w:hAnsiTheme="minorHAnsi" w:cstheme="minorHAnsi"/>
          <w:b/>
          <w:bCs/>
          <w:lang w:eastAsia="en-GB"/>
        </w:rPr>
        <w:t>Royal Botanic Garden Kew. (2017)</w:t>
      </w:r>
      <w:r>
        <w:rPr>
          <w:rFonts w:asciiTheme="minorHAnsi" w:hAnsiTheme="minorHAnsi" w:cstheme="minorHAnsi"/>
          <w:lang w:eastAsia="en-GB"/>
        </w:rPr>
        <w:t xml:space="preserve"> </w:t>
      </w:r>
      <w:r w:rsidRPr="00AB578E">
        <w:rPr>
          <w:rFonts w:asciiTheme="minorHAnsi" w:hAnsiTheme="minorHAnsi" w:cstheme="minorHAnsi"/>
          <w:b/>
          <w:bCs/>
          <w:lang w:eastAsia="en-GB"/>
        </w:rPr>
        <w:t>State of the World’s Plants 2017</w:t>
      </w:r>
      <w:r>
        <w:rPr>
          <w:rFonts w:asciiTheme="minorHAnsi" w:hAnsiTheme="minorHAnsi" w:cstheme="minorHAnsi"/>
          <w:lang w:eastAsia="en-GB"/>
        </w:rPr>
        <w:t>. Chap 7 ‘Climate Change: Which Plants will be the Winners?”(pp 42-49). Plant traits are identified which may help with adaptation to temperature and precipitation stress. These include: more sclerophyllous leaves (</w:t>
      </w:r>
      <w:r w:rsidR="00BA4E28">
        <w:rPr>
          <w:rFonts w:asciiTheme="minorHAnsi" w:hAnsiTheme="minorHAnsi" w:cstheme="minorHAnsi"/>
          <w:lang w:eastAsia="en-GB"/>
        </w:rPr>
        <w:t>i.e.</w:t>
      </w:r>
      <w:r>
        <w:rPr>
          <w:rFonts w:asciiTheme="minorHAnsi" w:hAnsiTheme="minorHAnsi" w:cstheme="minorHAnsi"/>
          <w:lang w:eastAsia="en-GB"/>
        </w:rPr>
        <w:t xml:space="preserve"> lower SLA); higher wood density; more-efficient water-use strategie</w:t>
      </w:r>
      <w:r w:rsidR="00536FDA">
        <w:rPr>
          <w:rFonts w:asciiTheme="minorHAnsi" w:hAnsiTheme="minorHAnsi" w:cstheme="minorHAnsi"/>
          <w:lang w:eastAsia="en-GB"/>
        </w:rPr>
        <w:t>s</w:t>
      </w:r>
      <w:r>
        <w:rPr>
          <w:rFonts w:asciiTheme="minorHAnsi" w:hAnsiTheme="minorHAnsi" w:cstheme="minorHAnsi"/>
          <w:lang w:eastAsia="en-GB"/>
        </w:rPr>
        <w:t xml:space="preserve"> and deeper roots. (</w:t>
      </w:r>
      <w:r w:rsidRPr="000243AE">
        <w:rPr>
          <w:rFonts w:asciiTheme="minorHAnsi" w:hAnsiTheme="minorHAnsi" w:cstheme="minorHAnsi"/>
          <w:b/>
          <w:bCs/>
          <w:u w:val="single"/>
          <w:lang w:eastAsia="en-GB"/>
        </w:rPr>
        <w:t>IDE comment</w:t>
      </w:r>
      <w:r>
        <w:rPr>
          <w:rFonts w:asciiTheme="minorHAnsi" w:hAnsiTheme="minorHAnsi" w:cstheme="minorHAnsi"/>
          <w:lang w:eastAsia="en-GB"/>
        </w:rPr>
        <w:t xml:space="preserve">: the Mvule tree has at least two of these key </w:t>
      </w:r>
      <w:r w:rsidR="00DE0130">
        <w:rPr>
          <w:rFonts w:asciiTheme="minorHAnsi" w:hAnsiTheme="minorHAnsi" w:cstheme="minorHAnsi"/>
          <w:lang w:eastAsia="en-GB"/>
        </w:rPr>
        <w:t xml:space="preserve">plant </w:t>
      </w:r>
      <w:r>
        <w:rPr>
          <w:rFonts w:asciiTheme="minorHAnsi" w:hAnsiTheme="minorHAnsi" w:cstheme="minorHAnsi"/>
          <w:lang w:eastAsia="en-GB"/>
        </w:rPr>
        <w:t>traits</w:t>
      </w:r>
      <w:r w:rsidR="00DE0130">
        <w:rPr>
          <w:rFonts w:asciiTheme="minorHAnsi" w:hAnsiTheme="minorHAnsi" w:cstheme="minorHAnsi"/>
          <w:lang w:eastAsia="en-GB"/>
        </w:rPr>
        <w:t xml:space="preserve"> - </w:t>
      </w:r>
      <w:r>
        <w:rPr>
          <w:rFonts w:asciiTheme="minorHAnsi" w:hAnsiTheme="minorHAnsi" w:cstheme="minorHAnsi"/>
          <w:lang w:eastAsia="en-GB"/>
        </w:rPr>
        <w:t xml:space="preserve"> relatively high wood density and sclerophyllous leaves). </w:t>
      </w:r>
      <w:r w:rsidR="00DE0130">
        <w:rPr>
          <w:rFonts w:asciiTheme="minorHAnsi" w:hAnsiTheme="minorHAnsi" w:cstheme="minorHAnsi"/>
          <w:lang w:eastAsia="en-GB"/>
        </w:rPr>
        <w:t xml:space="preserve"> For the report see: </w:t>
      </w:r>
      <w:hyperlink r:id="rId26" w:history="1">
        <w:r w:rsidR="00DE0130" w:rsidRPr="00377143">
          <w:rPr>
            <w:rStyle w:val="Hyperlink"/>
            <w:rFonts w:asciiTheme="minorHAnsi" w:hAnsiTheme="minorHAnsi" w:cstheme="minorHAnsi"/>
            <w:lang w:eastAsia="en-GB"/>
          </w:rPr>
          <w:t>https://stateoftheworldsplants.com/2017/climate-change.html</w:t>
        </w:r>
      </w:hyperlink>
    </w:p>
    <w:p w14:paraId="25805DC8" w14:textId="77777777" w:rsidR="00F627BE" w:rsidRDefault="001E33A1" w:rsidP="000243AE">
      <w:pPr>
        <w:pStyle w:val="NormalWeb"/>
        <w:numPr>
          <w:ilvl w:val="0"/>
          <w:numId w:val="21"/>
        </w:numPr>
        <w:shd w:val="clear" w:color="auto" w:fill="FFFFFF"/>
        <w:jc w:val="both"/>
        <w:rPr>
          <w:rFonts w:asciiTheme="minorHAnsi" w:hAnsiTheme="minorHAnsi" w:cstheme="minorHAnsi"/>
          <w:lang w:eastAsia="en-GB"/>
        </w:rPr>
      </w:pPr>
      <w:r w:rsidRPr="00E70B48">
        <w:rPr>
          <w:rFonts w:asciiTheme="minorHAnsi" w:hAnsiTheme="minorHAnsi" w:cstheme="minorHAnsi"/>
          <w:u w:val="single"/>
          <w:lang w:eastAsia="en-GB"/>
        </w:rPr>
        <w:t>Uganda’s Climatic Advantage for tree planting in a warming climate:</w:t>
      </w:r>
      <w:r w:rsidRPr="00E70B48">
        <w:rPr>
          <w:rFonts w:asciiTheme="minorHAnsi" w:hAnsiTheme="minorHAnsi" w:cstheme="minorHAnsi"/>
          <w:lang w:eastAsia="en-GB"/>
        </w:rPr>
        <w:t xml:space="preserve"> </w:t>
      </w:r>
      <w:r w:rsidR="00E70B48">
        <w:rPr>
          <w:rFonts w:asciiTheme="minorHAnsi" w:hAnsiTheme="minorHAnsi" w:cstheme="minorHAnsi"/>
          <w:lang w:eastAsia="en-GB"/>
        </w:rPr>
        <w:t xml:space="preserve"> The charts below provide additional climate data </w:t>
      </w:r>
      <w:r w:rsidR="004A3CF4">
        <w:rPr>
          <w:rFonts w:asciiTheme="minorHAnsi" w:hAnsiTheme="minorHAnsi" w:cstheme="minorHAnsi"/>
          <w:lang w:eastAsia="en-GB"/>
        </w:rPr>
        <w:t>for</w:t>
      </w:r>
      <w:r w:rsidR="00E70B48">
        <w:rPr>
          <w:rFonts w:asciiTheme="minorHAnsi" w:hAnsiTheme="minorHAnsi" w:cstheme="minorHAnsi"/>
          <w:lang w:eastAsia="en-GB"/>
        </w:rPr>
        <w:t xml:space="preserve"> a better understanding of why Uganda’s location can provide an advantage in the medium term to tropical moist forests carbon sequestration rates in a warming climate over the Amazon and Congo forest basins. </w:t>
      </w:r>
    </w:p>
    <w:p w14:paraId="327590EC" w14:textId="5A69BCE4" w:rsidR="00A91AE2" w:rsidRDefault="00E70B48" w:rsidP="00F627BE">
      <w:pPr>
        <w:pStyle w:val="NormalWeb"/>
        <w:shd w:val="clear" w:color="auto" w:fill="FFFFFF"/>
        <w:jc w:val="both"/>
        <w:rPr>
          <w:rFonts w:asciiTheme="minorHAnsi" w:hAnsiTheme="minorHAnsi" w:cstheme="minorHAnsi"/>
          <w:lang w:eastAsia="en-GB"/>
        </w:rPr>
      </w:pPr>
      <w:r>
        <w:rPr>
          <w:rFonts w:asciiTheme="minorHAnsi" w:hAnsiTheme="minorHAnsi" w:cstheme="minorHAnsi"/>
          <w:lang w:eastAsia="en-GB"/>
        </w:rPr>
        <w:t xml:space="preserve"> </w:t>
      </w:r>
      <w:r w:rsidR="00F627BE">
        <w:rPr>
          <w:rFonts w:asciiTheme="minorHAnsi" w:hAnsiTheme="minorHAnsi" w:cstheme="minorHAnsi"/>
          <w:noProof/>
          <w:lang w:eastAsia="en-GB"/>
        </w:rPr>
        <w:drawing>
          <wp:inline distT="0" distB="0" distL="0" distR="0" wp14:anchorId="50FB9E28" wp14:editId="45E2B0C0">
            <wp:extent cx="6129921" cy="1634419"/>
            <wp:effectExtent l="0" t="0" r="4445" b="4445"/>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51104" cy="1640067"/>
                    </a:xfrm>
                    <a:prstGeom prst="rect">
                      <a:avLst/>
                    </a:prstGeom>
                  </pic:spPr>
                </pic:pic>
              </a:graphicData>
            </a:graphic>
          </wp:inline>
        </w:drawing>
      </w:r>
    </w:p>
    <w:p w14:paraId="46BBEF5F" w14:textId="1C2DDBBE" w:rsidR="001E33A1" w:rsidRDefault="00BA3F4F" w:rsidP="00A91AE2">
      <w:pPr>
        <w:pStyle w:val="NormalWeb"/>
        <w:shd w:val="clear" w:color="auto" w:fill="FFFFFF"/>
        <w:ind w:left="567" w:hanging="141"/>
        <w:jc w:val="both"/>
        <w:rPr>
          <w:rFonts w:asciiTheme="minorHAnsi" w:hAnsiTheme="minorHAnsi" w:cstheme="minorHAnsi"/>
          <w:lang w:eastAsia="en-GB"/>
        </w:rPr>
      </w:pPr>
      <w:r>
        <w:rPr>
          <w:rFonts w:asciiTheme="minorHAnsi" w:hAnsiTheme="minorHAnsi" w:cstheme="minorHAnsi"/>
          <w:noProof/>
          <w:lang w:eastAsia="en-GB"/>
        </w:rPr>
        <w:drawing>
          <wp:inline distT="0" distB="0" distL="0" distR="0" wp14:anchorId="6DCD7DDA" wp14:editId="2B2A9DDF">
            <wp:extent cx="6078943" cy="4752764"/>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 CLIMATE ADVANTAGE pdf copy.jpg"/>
                    <pic:cNvPicPr/>
                  </pic:nvPicPr>
                  <pic:blipFill rotWithShape="1">
                    <a:blip r:embed="rId28" cstate="print">
                      <a:extLst>
                        <a:ext uri="{28A0092B-C50C-407E-A947-70E740481C1C}">
                          <a14:useLocalDpi xmlns:a14="http://schemas.microsoft.com/office/drawing/2010/main" val="0"/>
                        </a:ext>
                      </a:extLst>
                    </a:blip>
                    <a:srcRect l="9645"/>
                    <a:stretch/>
                  </pic:blipFill>
                  <pic:spPr bwMode="auto">
                    <a:xfrm>
                      <a:off x="0" y="0"/>
                      <a:ext cx="6111018" cy="4777841"/>
                    </a:xfrm>
                    <a:prstGeom prst="rect">
                      <a:avLst/>
                    </a:prstGeom>
                    <a:ln>
                      <a:noFill/>
                    </a:ln>
                    <a:extLst>
                      <a:ext uri="{53640926-AAD7-44D8-BBD7-CCE9431645EC}">
                        <a14:shadowObscured xmlns:a14="http://schemas.microsoft.com/office/drawing/2010/main"/>
                      </a:ext>
                    </a:extLst>
                  </pic:spPr>
                </pic:pic>
              </a:graphicData>
            </a:graphic>
          </wp:inline>
        </w:drawing>
      </w:r>
    </w:p>
    <w:p w14:paraId="09274663" w14:textId="56A50556" w:rsidR="00E70B48" w:rsidRDefault="00E541E3" w:rsidP="00705CF2">
      <w:pPr>
        <w:pStyle w:val="NormalWeb"/>
        <w:shd w:val="clear" w:color="auto" w:fill="FFFFFF"/>
        <w:jc w:val="both"/>
        <w:rPr>
          <w:rFonts w:asciiTheme="minorHAnsi" w:hAnsiTheme="minorHAnsi" w:cstheme="minorHAnsi"/>
          <w:lang w:eastAsia="en-GB"/>
        </w:rPr>
      </w:pPr>
      <w:r>
        <w:rPr>
          <w:rFonts w:asciiTheme="minorHAnsi" w:hAnsiTheme="minorHAnsi" w:cstheme="minorHAnsi"/>
          <w:noProof/>
          <w:lang w:eastAsia="en-GB"/>
        </w:rPr>
        <w:lastRenderedPageBreak/>
        <w:drawing>
          <wp:anchor distT="0" distB="0" distL="114300" distR="114300" simplePos="0" relativeHeight="251661312" behindDoc="1" locked="0" layoutInCell="1" allowOverlap="1" wp14:anchorId="7EB78D9D" wp14:editId="06790BD8">
            <wp:simplePos x="0" y="0"/>
            <wp:positionH relativeFrom="column">
              <wp:posOffset>147955</wp:posOffset>
            </wp:positionH>
            <wp:positionV relativeFrom="paragraph">
              <wp:posOffset>748665</wp:posOffset>
            </wp:positionV>
            <wp:extent cx="5039995" cy="6802755"/>
            <wp:effectExtent l="0" t="0" r="1905" b="4445"/>
            <wp:wrapTight wrapText="bothSides">
              <wp:wrapPolygon edited="0">
                <wp:start x="0" y="0"/>
                <wp:lineTo x="0" y="21574"/>
                <wp:lineTo x="21554" y="21574"/>
                <wp:lineTo x="215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 Uganda's  Climate (Koppe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9995" cy="6802755"/>
                    </a:xfrm>
                    <a:prstGeom prst="rect">
                      <a:avLst/>
                    </a:prstGeom>
                  </pic:spPr>
                </pic:pic>
              </a:graphicData>
            </a:graphic>
            <wp14:sizeRelH relativeFrom="margin">
              <wp14:pctWidth>0</wp14:pctWidth>
            </wp14:sizeRelH>
            <wp14:sizeRelV relativeFrom="margin">
              <wp14:pctHeight>0</wp14:pctHeight>
            </wp14:sizeRelV>
          </wp:anchor>
        </w:drawing>
      </w:r>
    </w:p>
    <w:p w14:paraId="79D57ADB" w14:textId="554F12AE" w:rsidR="002D04F0" w:rsidRDefault="00BA3F4F" w:rsidP="00E55B82">
      <w:pPr>
        <w:pStyle w:val="NormalWeb"/>
        <w:shd w:val="clear" w:color="auto" w:fill="FFFFFF"/>
        <w:jc w:val="both"/>
        <w:rPr>
          <w:rFonts w:asciiTheme="minorHAnsi" w:hAnsiTheme="minorHAnsi" w:cstheme="minorHAnsi"/>
          <w:noProof/>
          <w:lang w:eastAsia="en-GB"/>
        </w:rPr>
      </w:pPr>
      <w:r>
        <w:rPr>
          <w:rFonts w:asciiTheme="minorHAnsi" w:hAnsiTheme="minorHAnsi" w:cstheme="minorHAnsi"/>
          <w:noProof/>
          <w:lang w:eastAsia="en-GB"/>
        </w:rPr>
        <w:lastRenderedPageBreak/>
        <w:drawing>
          <wp:inline distT="0" distB="0" distL="0" distR="0" wp14:anchorId="5F271B7E" wp14:editId="3DBD99D6">
            <wp:extent cx="5727700" cy="3484880"/>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 Changing Rains LV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7700" cy="3484880"/>
                    </a:xfrm>
                    <a:prstGeom prst="rect">
                      <a:avLst/>
                    </a:prstGeom>
                  </pic:spPr>
                </pic:pic>
              </a:graphicData>
            </a:graphic>
          </wp:inline>
        </w:drawing>
      </w:r>
    </w:p>
    <w:p w14:paraId="558C7E78" w14:textId="09DC9298" w:rsidR="007821B9" w:rsidRDefault="007821B9" w:rsidP="007821B9">
      <w:pPr>
        <w:rPr>
          <w:rFonts w:asciiTheme="minorHAnsi" w:hAnsiTheme="minorHAnsi" w:cstheme="minorHAnsi"/>
          <w:noProof/>
        </w:rPr>
      </w:pPr>
    </w:p>
    <w:p w14:paraId="6DF09241" w14:textId="3C2E9D3A" w:rsidR="007821B9" w:rsidRDefault="007821B9" w:rsidP="007821B9">
      <w:pPr>
        <w:pStyle w:val="ListParagraph"/>
        <w:numPr>
          <w:ilvl w:val="0"/>
          <w:numId w:val="41"/>
        </w:numPr>
      </w:pPr>
      <w:r>
        <w:rPr>
          <w:b/>
          <w:bCs/>
          <w:sz w:val="28"/>
          <w:szCs w:val="28"/>
        </w:rPr>
        <w:t>E</w:t>
      </w:r>
      <w:r w:rsidRPr="007821B9">
        <w:rPr>
          <w:b/>
          <w:bCs/>
          <w:sz w:val="28"/>
          <w:szCs w:val="28"/>
        </w:rPr>
        <w:t>VALUAT</w:t>
      </w:r>
      <w:r w:rsidR="00A306BF">
        <w:rPr>
          <w:b/>
          <w:bCs/>
          <w:sz w:val="28"/>
          <w:szCs w:val="28"/>
        </w:rPr>
        <w:t>ION OF</w:t>
      </w:r>
      <w:r w:rsidRPr="007821B9">
        <w:rPr>
          <w:b/>
          <w:bCs/>
          <w:sz w:val="28"/>
          <w:szCs w:val="28"/>
        </w:rPr>
        <w:t xml:space="preserve"> TREE PROJECTS FOR CARBON SEQUESTRATION</w:t>
      </w:r>
      <w:r>
        <w:t xml:space="preserve">. </w:t>
      </w:r>
    </w:p>
    <w:p w14:paraId="723A6BE8" w14:textId="464A9D6A" w:rsidR="00307AF5" w:rsidRDefault="00307AF5" w:rsidP="00307AF5">
      <w:pPr>
        <w:pStyle w:val="ListParagraph"/>
        <w:rPr>
          <w:b/>
          <w:bCs/>
          <w:sz w:val="28"/>
          <w:szCs w:val="28"/>
        </w:rPr>
      </w:pPr>
    </w:p>
    <w:p w14:paraId="3785C858" w14:textId="7D55B9F3" w:rsidR="00307AF5" w:rsidRPr="00307AF5" w:rsidRDefault="00307AF5" w:rsidP="00307AF5">
      <w:pPr>
        <w:pStyle w:val="ListParagraph"/>
        <w:rPr>
          <w:sz w:val="22"/>
          <w:szCs w:val="22"/>
        </w:rPr>
      </w:pPr>
      <w:r w:rsidRPr="00307AF5">
        <w:rPr>
          <w:b/>
          <w:bCs/>
          <w:sz w:val="22"/>
          <w:szCs w:val="22"/>
        </w:rPr>
        <w:t xml:space="preserve">(IDE comment: </w:t>
      </w:r>
      <w:r>
        <w:rPr>
          <w:b/>
          <w:bCs/>
          <w:sz w:val="22"/>
          <w:szCs w:val="22"/>
        </w:rPr>
        <w:t xml:space="preserve"> </w:t>
      </w:r>
      <w:r w:rsidR="00EE3148">
        <w:rPr>
          <w:b/>
          <w:bCs/>
          <w:sz w:val="22"/>
          <w:szCs w:val="22"/>
        </w:rPr>
        <w:t xml:space="preserve">Tree planting for carbon sequestration is a contentious issue and it is easy to be confused </w:t>
      </w:r>
      <w:r w:rsidR="00976599">
        <w:rPr>
          <w:b/>
          <w:bCs/>
          <w:sz w:val="22"/>
          <w:szCs w:val="22"/>
        </w:rPr>
        <w:t xml:space="preserve">with statements saying “don’t plant trees – trees cause global warming” </w:t>
      </w:r>
    </w:p>
    <w:p w14:paraId="31B60577" w14:textId="77777777" w:rsidR="00A306BF" w:rsidRDefault="007821B9" w:rsidP="00A306BF">
      <w:pPr>
        <w:pStyle w:val="NormalWeb"/>
        <w:numPr>
          <w:ilvl w:val="0"/>
          <w:numId w:val="44"/>
        </w:numPr>
        <w:rPr>
          <w:rFonts w:ascii="Calibri" w:hAnsi="Calibri" w:cs="Calibri"/>
          <w:b/>
          <w:bCs/>
          <w:color w:val="000000" w:themeColor="text1"/>
          <w:sz w:val="22"/>
          <w:szCs w:val="22"/>
        </w:rPr>
      </w:pPr>
      <w:r w:rsidRPr="000E25FF">
        <w:rPr>
          <w:rFonts w:ascii="Calibri" w:hAnsi="Calibri" w:cs="Calibri"/>
          <w:b/>
          <w:bCs/>
          <w:color w:val="000000" w:themeColor="text1"/>
          <w:sz w:val="22"/>
          <w:szCs w:val="22"/>
        </w:rPr>
        <w:t>Carton, W., &amp; Andersson, E. (2017). Where Forest Carbon Meets Its Maker: Forestry-Based Offsetting as the Subsumption of Nature. Society and Natural Resources, 30(7), 829–843.</w:t>
      </w:r>
      <w:r>
        <w:rPr>
          <w:rFonts w:ascii="Calibri" w:hAnsi="Calibri" w:cs="Calibri"/>
          <w:b/>
          <w:bCs/>
          <w:color w:val="000000" w:themeColor="text1"/>
          <w:sz w:val="22"/>
          <w:szCs w:val="22"/>
        </w:rPr>
        <w:t xml:space="preserve">            https://doi.org 10.1080/08941920.2017.1284291      </w:t>
      </w:r>
    </w:p>
    <w:p w14:paraId="075B532E" w14:textId="6CC3E1B0" w:rsidR="007821B9" w:rsidRPr="00A306BF" w:rsidRDefault="007821B9" w:rsidP="00A306BF">
      <w:pPr>
        <w:pStyle w:val="NormalWeb"/>
        <w:ind w:left="720"/>
        <w:rPr>
          <w:rFonts w:ascii="Calibri" w:hAnsi="Calibri" w:cs="Calibri"/>
          <w:b/>
          <w:bCs/>
          <w:color w:val="000000" w:themeColor="text1"/>
          <w:sz w:val="22"/>
          <w:szCs w:val="22"/>
        </w:rPr>
      </w:pPr>
      <w:r w:rsidRPr="00A306BF">
        <w:rPr>
          <w:rFonts w:ascii="Calibri" w:hAnsi="Calibri" w:cs="Calibri"/>
          <w:sz w:val="22"/>
          <w:szCs w:val="22"/>
        </w:rPr>
        <w:t>(</w:t>
      </w:r>
      <w:r w:rsidRPr="00A306BF">
        <w:rPr>
          <w:rFonts w:ascii="Calibri" w:hAnsi="Calibri" w:cs="Calibri"/>
          <w:sz w:val="22"/>
          <w:szCs w:val="22"/>
          <w:u w:val="single"/>
        </w:rPr>
        <w:t>IDE Comment</w:t>
      </w:r>
      <w:r w:rsidRPr="00A306BF">
        <w:rPr>
          <w:rFonts w:ascii="Calibri" w:hAnsi="Calibri" w:cs="Calibri"/>
          <w:sz w:val="22"/>
          <w:szCs w:val="22"/>
        </w:rPr>
        <w:t xml:space="preserve">: This article refers to the difficulties faced by </w:t>
      </w:r>
      <w:r w:rsidR="00A306BF" w:rsidRPr="00A306BF">
        <w:rPr>
          <w:rFonts w:ascii="Calibri" w:hAnsi="Calibri" w:cs="Calibri"/>
          <w:sz w:val="22"/>
          <w:szCs w:val="22"/>
        </w:rPr>
        <w:t xml:space="preserve">large well-funded </w:t>
      </w:r>
      <w:r w:rsidRPr="00A306BF">
        <w:rPr>
          <w:rFonts w:ascii="Calibri" w:hAnsi="Calibri" w:cs="Calibri"/>
          <w:sz w:val="22"/>
          <w:szCs w:val="22"/>
        </w:rPr>
        <w:t xml:space="preserve">carbon offsetting </w:t>
      </w:r>
      <w:r w:rsidR="00A306BF" w:rsidRPr="00A306BF">
        <w:rPr>
          <w:rFonts w:ascii="Calibri" w:hAnsi="Calibri" w:cs="Calibri"/>
          <w:sz w:val="22"/>
          <w:szCs w:val="22"/>
        </w:rPr>
        <w:t>organisations</w:t>
      </w:r>
      <w:r w:rsidRPr="00A306BF">
        <w:rPr>
          <w:rFonts w:ascii="Calibri" w:hAnsi="Calibri" w:cs="Calibri"/>
          <w:sz w:val="22"/>
          <w:szCs w:val="22"/>
        </w:rPr>
        <w:t>,</w:t>
      </w:r>
      <w:r w:rsidR="00A306BF" w:rsidRPr="00A306BF">
        <w:rPr>
          <w:rFonts w:ascii="Calibri" w:hAnsi="Calibri" w:cs="Calibri"/>
          <w:sz w:val="22"/>
          <w:szCs w:val="22"/>
        </w:rPr>
        <w:t xml:space="preserve"> in this case,</w:t>
      </w:r>
      <w:r w:rsidRPr="00A306BF">
        <w:rPr>
          <w:rFonts w:ascii="Calibri" w:hAnsi="Calibri" w:cs="Calibri"/>
          <w:sz w:val="22"/>
          <w:szCs w:val="22"/>
        </w:rPr>
        <w:t xml:space="preserve"> ECOTRUST in Uganda, in partnership with Trees for Global Benefit -TFGB. This paper highlights the difficulties of </w:t>
      </w:r>
      <w:r w:rsidR="00A306BF" w:rsidRPr="00A306BF">
        <w:rPr>
          <w:rFonts w:ascii="Calibri" w:hAnsi="Calibri" w:cs="Calibri"/>
          <w:sz w:val="22"/>
          <w:szCs w:val="22"/>
        </w:rPr>
        <w:t xml:space="preserve">such </w:t>
      </w:r>
      <w:r w:rsidRPr="00A306BF">
        <w:rPr>
          <w:rFonts w:ascii="Calibri" w:hAnsi="Calibri" w:cs="Calibri"/>
          <w:sz w:val="22"/>
          <w:szCs w:val="22"/>
        </w:rPr>
        <w:t>large-scale schemes of enlisting local communities with financial incentives for carbon sequestration. Below is an extract from the conclusion of the study</w:t>
      </w:r>
      <w:r w:rsidR="00A306BF" w:rsidRPr="00A306BF">
        <w:rPr>
          <w:rFonts w:ascii="Calibri" w:hAnsi="Calibri" w:cs="Calibri"/>
          <w:sz w:val="22"/>
          <w:szCs w:val="22"/>
        </w:rPr>
        <w:t>, although the full article is recommended reading</w:t>
      </w:r>
      <w:r w:rsidRPr="00A306BF">
        <w:rPr>
          <w:rFonts w:ascii="Calibri" w:hAnsi="Calibri" w:cs="Calibri"/>
          <w:sz w:val="22"/>
          <w:szCs w:val="22"/>
        </w:rPr>
        <w:t>).</w:t>
      </w:r>
    </w:p>
    <w:p w14:paraId="1A40F0DF" w14:textId="37A4F3B7" w:rsidR="00151833" w:rsidRDefault="007821B9" w:rsidP="008549F3">
      <w:pPr>
        <w:pStyle w:val="NormalWeb"/>
        <w:ind w:left="720"/>
        <w:rPr>
          <w:rFonts w:ascii="Calibri" w:hAnsi="Calibri" w:cs="Calibri"/>
          <w:sz w:val="22"/>
          <w:szCs w:val="22"/>
        </w:rPr>
      </w:pPr>
      <w:r>
        <w:rPr>
          <w:rFonts w:ascii="Calibri" w:hAnsi="Calibri" w:cs="Calibri"/>
          <w:sz w:val="22"/>
          <w:szCs w:val="22"/>
        </w:rPr>
        <w:t xml:space="preserve">“Under the community-based framework that Ecotrust relies on, the subsumption of nature is effectively outsourced to participating communities and farmers, who assume a stake (and the corresponding risks) in the project by benefitting from instalment payments and the value of the timber. To ensure that tree carbon is sequestered in a way that enables the production of tradeable offsets, farmers are thereby expected to live up to a specific planting, thinning and pruning regime, to keep track of exact land sizes and tree numbers, to combat pests and diseases and to base their involvement in the project on a cost-benefit estimation of tree cultivation compared to a range of alternative land uses. They are, in other words, submitted to a disciplining exercise that enforces the same logic employed in the subsumption of tree carbon, a logic that prescribes utility maximization and the rationalization of tree management for sequestration purposes. To all intents and purposes therefore, they are enlisted as ‘green custodians’ as labourers in the new carbon economy. This is not to say that the project does not bring potential benefits to participants, that it does not contribute to afforestation, or that Ecotrust is to blame for all of the projects’ shortcomings….the management practices of carbon forestry are fundamentally shaped by the requirements of the carbon market, which for all sorts of socio-economic reasons (not least widespread poverty) are often far from the reality on the ground. TFGB participants have their own priorities, time constraints and livelihood concerns that partly conflict with Ecotrust’s ideas about ‘boutique’ offset production. To the extent that this puts them into conflict with the organisation’s objectives, this has led to substantial misunderstandings and </w:t>
      </w:r>
      <w:r>
        <w:rPr>
          <w:rFonts w:ascii="Calibri" w:hAnsi="Calibri" w:cs="Calibri"/>
          <w:sz w:val="22"/>
          <w:szCs w:val="22"/>
        </w:rPr>
        <w:lastRenderedPageBreak/>
        <w:t xml:space="preserve">frustrations, causing large numbers of farmers to fall short of their contract requirements, with some even removing trees and leaving the project.” </w:t>
      </w:r>
    </w:p>
    <w:p w14:paraId="48C2AE73" w14:textId="1B7E007C" w:rsidR="00D04A06" w:rsidRDefault="00D04A06" w:rsidP="00D04A06">
      <w:pPr>
        <w:pStyle w:val="NormalWeb"/>
        <w:numPr>
          <w:ilvl w:val="0"/>
          <w:numId w:val="44"/>
        </w:numPr>
        <w:rPr>
          <w:b/>
          <w:bCs/>
        </w:rPr>
      </w:pPr>
      <w:r w:rsidRPr="00D04A06">
        <w:rPr>
          <w:rFonts w:ascii="Calibri" w:hAnsi="Calibri" w:cs="Calibri"/>
          <w:b/>
          <w:bCs/>
          <w:sz w:val="22"/>
          <w:szCs w:val="22"/>
        </w:rPr>
        <w:t xml:space="preserve">UNEP (10 Jun 2019) “Carbon offsets are not our get out-of-jail free card”. </w:t>
      </w:r>
    </w:p>
    <w:p w14:paraId="6C9D5FD3" w14:textId="36E834BA" w:rsidR="008741B0" w:rsidRPr="00A23720" w:rsidRDefault="00D04A06" w:rsidP="008741B0">
      <w:pPr>
        <w:ind w:left="709"/>
        <w:rPr>
          <w:rFonts w:asciiTheme="minorHAnsi" w:hAnsiTheme="minorHAnsi" w:cstheme="minorHAnsi"/>
          <w:color w:val="1E1E1E"/>
          <w:sz w:val="22"/>
          <w:szCs w:val="22"/>
          <w:shd w:val="clear" w:color="auto" w:fill="FFFFFF"/>
        </w:rPr>
      </w:pPr>
      <w:r w:rsidRPr="00A23720">
        <w:rPr>
          <w:rFonts w:asciiTheme="minorHAnsi" w:hAnsiTheme="minorHAnsi" w:cstheme="minorHAnsi"/>
          <w:color w:val="1E1E1E"/>
          <w:sz w:val="22"/>
          <w:szCs w:val="22"/>
        </w:rPr>
        <w:t xml:space="preserve">UNEP emphasises </w:t>
      </w:r>
      <w:r w:rsidR="008741B0" w:rsidRPr="00A23720">
        <w:rPr>
          <w:rFonts w:asciiTheme="minorHAnsi" w:hAnsiTheme="minorHAnsi" w:cstheme="minorHAnsi"/>
          <w:color w:val="1E1E1E"/>
          <w:sz w:val="22"/>
          <w:szCs w:val="22"/>
        </w:rPr>
        <w:t>that</w:t>
      </w:r>
      <w:r w:rsidRPr="00A23720">
        <w:rPr>
          <w:rFonts w:asciiTheme="minorHAnsi" w:hAnsiTheme="minorHAnsi" w:cstheme="minorHAnsi"/>
          <w:color w:val="1E1E1E"/>
          <w:sz w:val="22"/>
          <w:szCs w:val="22"/>
        </w:rPr>
        <w:t xml:space="preserve"> projects </w:t>
      </w:r>
      <w:r w:rsidR="008741B0" w:rsidRPr="00A23720">
        <w:rPr>
          <w:rFonts w:asciiTheme="minorHAnsi" w:hAnsiTheme="minorHAnsi" w:cstheme="minorHAnsi"/>
          <w:color w:val="1E1E1E"/>
          <w:sz w:val="22"/>
          <w:szCs w:val="22"/>
        </w:rPr>
        <w:t>which</w:t>
      </w:r>
      <w:r w:rsidRPr="00A23720">
        <w:rPr>
          <w:rFonts w:asciiTheme="minorHAnsi" w:hAnsiTheme="minorHAnsi" w:cstheme="minorHAnsi"/>
          <w:color w:val="1E1E1E"/>
          <w:sz w:val="22"/>
          <w:szCs w:val="22"/>
        </w:rPr>
        <w:t xml:space="preserve"> offset schemes support are vital: trees must be planted, existing forests and peatlands that hold and absorb carbon must be protected. </w:t>
      </w:r>
      <w:r w:rsidR="008741B0" w:rsidRPr="00A23720">
        <w:rPr>
          <w:rFonts w:asciiTheme="minorHAnsi" w:hAnsiTheme="minorHAnsi" w:cstheme="minorHAnsi"/>
          <w:color w:val="1E1E1E"/>
          <w:sz w:val="22"/>
          <w:szCs w:val="22"/>
        </w:rPr>
        <w:t xml:space="preserve">However, they in themselves are insufficient as they give </w:t>
      </w:r>
      <w:r w:rsidR="008741B0" w:rsidRPr="00A23720">
        <w:rPr>
          <w:rFonts w:asciiTheme="minorHAnsi" w:hAnsiTheme="minorHAnsi" w:cstheme="minorHAnsi"/>
          <w:color w:val="1E1E1E"/>
          <w:sz w:val="22"/>
          <w:szCs w:val="22"/>
          <w:shd w:val="clear" w:color="auto" w:fill="FFFFFF"/>
        </w:rPr>
        <w:t xml:space="preserve">the dangerous illusion of a “fix” that will allow our billowing emissions to just continue to grow”.  </w:t>
      </w:r>
    </w:p>
    <w:p w14:paraId="76D7508F" w14:textId="3BC0EEC2" w:rsidR="00D04A06" w:rsidRDefault="00A23720" w:rsidP="00A23720">
      <w:pPr>
        <w:pStyle w:val="Heading1"/>
        <w:spacing w:before="0" w:beforeAutospacing="0" w:after="0" w:afterAutospacing="0"/>
        <w:ind w:left="709" w:hanging="709"/>
        <w:textAlignment w:val="baseline"/>
        <w:rPr>
          <w:rFonts w:asciiTheme="minorHAnsi" w:hAnsiTheme="minorHAnsi" w:cstheme="minorHAnsi"/>
          <w:b w:val="0"/>
          <w:bCs w:val="0"/>
          <w:sz w:val="22"/>
          <w:szCs w:val="22"/>
        </w:rPr>
      </w:pPr>
      <w:r w:rsidRPr="00A23720">
        <w:rPr>
          <w:rFonts w:asciiTheme="minorHAnsi" w:hAnsiTheme="minorHAnsi" w:cstheme="minorHAnsi"/>
          <w:sz w:val="22"/>
          <w:szCs w:val="22"/>
        </w:rPr>
        <w:t xml:space="preserve">             </w:t>
      </w:r>
      <w:r w:rsidR="008741B0" w:rsidRPr="00A23720">
        <w:rPr>
          <w:rFonts w:asciiTheme="minorHAnsi" w:hAnsiTheme="minorHAnsi" w:cstheme="minorHAnsi"/>
          <w:sz w:val="22"/>
          <w:szCs w:val="22"/>
        </w:rPr>
        <w:t xml:space="preserve">(IDE Comment: </w:t>
      </w:r>
      <w:r w:rsidR="008741B0" w:rsidRPr="00A23720">
        <w:rPr>
          <w:rFonts w:asciiTheme="minorHAnsi" w:hAnsiTheme="minorHAnsi" w:cstheme="minorHAnsi"/>
          <w:b w:val="0"/>
          <w:bCs w:val="0"/>
          <w:sz w:val="22"/>
          <w:szCs w:val="22"/>
        </w:rPr>
        <w:t>This is a point made by Greenpeace</w:t>
      </w:r>
      <w:r w:rsidRPr="00A23720">
        <w:rPr>
          <w:rFonts w:asciiTheme="minorHAnsi" w:hAnsiTheme="minorHAnsi" w:cstheme="minorHAnsi"/>
          <w:b w:val="0"/>
          <w:bCs w:val="0"/>
          <w:sz w:val="22"/>
          <w:szCs w:val="22"/>
        </w:rPr>
        <w:t xml:space="preserve"> UK (20/05/2020) “</w:t>
      </w:r>
      <w:r w:rsidRPr="00A23720">
        <w:rPr>
          <w:rFonts w:asciiTheme="minorHAnsi" w:hAnsiTheme="minorHAnsi" w:cstheme="minorHAnsi"/>
          <w:sz w:val="22"/>
          <w:szCs w:val="22"/>
        </w:rPr>
        <w:t>The biggest problem is that carbon offsetting doesn’t really work”</w:t>
      </w:r>
      <w:r w:rsidRPr="00A23720">
        <w:rPr>
          <w:rFonts w:asciiTheme="minorHAnsi" w:hAnsiTheme="minorHAnsi" w:cstheme="minorHAnsi"/>
          <w:b w:val="0"/>
          <w:bCs w:val="0"/>
          <w:sz w:val="22"/>
          <w:szCs w:val="22"/>
        </w:rPr>
        <w:t>.</w:t>
      </w:r>
      <w:r w:rsidRPr="00A23720">
        <w:rPr>
          <w:rFonts w:asciiTheme="minorHAnsi" w:hAnsiTheme="minorHAnsi" w:cstheme="minorHAnsi"/>
          <w:sz w:val="22"/>
          <w:szCs w:val="22"/>
        </w:rPr>
        <w:t xml:space="preserve">  </w:t>
      </w:r>
      <w:r>
        <w:rPr>
          <w:rFonts w:asciiTheme="minorHAnsi" w:hAnsiTheme="minorHAnsi" w:cstheme="minorHAnsi"/>
          <w:sz w:val="22"/>
          <w:szCs w:val="22"/>
        </w:rPr>
        <w:t xml:space="preserve">Such headlines are eye-catching but misleading.  </w:t>
      </w:r>
      <w:r w:rsidRPr="00A23720">
        <w:rPr>
          <w:rFonts w:asciiTheme="minorHAnsi" w:hAnsiTheme="minorHAnsi" w:cstheme="minorHAnsi"/>
          <w:b w:val="0"/>
          <w:bCs w:val="0"/>
          <w:sz w:val="22"/>
          <w:szCs w:val="22"/>
        </w:rPr>
        <w:t>Th</w:t>
      </w:r>
      <w:r>
        <w:rPr>
          <w:rFonts w:asciiTheme="minorHAnsi" w:hAnsiTheme="minorHAnsi" w:cstheme="minorHAnsi"/>
          <w:b w:val="0"/>
          <w:bCs w:val="0"/>
          <w:sz w:val="22"/>
          <w:szCs w:val="22"/>
        </w:rPr>
        <w:t>e</w:t>
      </w:r>
      <w:r w:rsidRPr="00A23720">
        <w:rPr>
          <w:rFonts w:asciiTheme="minorHAnsi" w:hAnsiTheme="minorHAnsi" w:cstheme="minorHAnsi"/>
          <w:b w:val="0"/>
          <w:bCs w:val="0"/>
          <w:sz w:val="22"/>
          <w:szCs w:val="22"/>
        </w:rPr>
        <w:t xml:space="preserve"> issue</w:t>
      </w:r>
      <w:r>
        <w:rPr>
          <w:rFonts w:asciiTheme="minorHAnsi" w:hAnsiTheme="minorHAnsi" w:cstheme="minorHAnsi"/>
          <w:b w:val="0"/>
          <w:bCs w:val="0"/>
          <w:sz w:val="22"/>
          <w:szCs w:val="22"/>
        </w:rPr>
        <w:t xml:space="preserve">, as </w:t>
      </w:r>
      <w:r w:rsidRPr="00A23720">
        <w:rPr>
          <w:rFonts w:asciiTheme="minorHAnsi" w:hAnsiTheme="minorHAnsi" w:cstheme="minorHAnsi"/>
          <w:b w:val="0"/>
          <w:bCs w:val="0"/>
          <w:sz w:val="22"/>
          <w:szCs w:val="22"/>
        </w:rPr>
        <w:t>recognised by UNA Ea</w:t>
      </w:r>
      <w:r>
        <w:rPr>
          <w:rFonts w:asciiTheme="minorHAnsi" w:hAnsiTheme="minorHAnsi" w:cstheme="minorHAnsi"/>
          <w:b w:val="0"/>
          <w:bCs w:val="0"/>
          <w:sz w:val="22"/>
          <w:szCs w:val="22"/>
        </w:rPr>
        <w:t>s</w:t>
      </w:r>
      <w:r w:rsidRPr="00A23720">
        <w:rPr>
          <w:rFonts w:asciiTheme="minorHAnsi" w:hAnsiTheme="minorHAnsi" w:cstheme="minorHAnsi"/>
          <w:b w:val="0"/>
          <w:bCs w:val="0"/>
          <w:sz w:val="22"/>
          <w:szCs w:val="22"/>
        </w:rPr>
        <w:t xml:space="preserve">tbourne, </w:t>
      </w:r>
      <w:r>
        <w:rPr>
          <w:rFonts w:asciiTheme="minorHAnsi" w:hAnsiTheme="minorHAnsi" w:cstheme="minorHAnsi"/>
          <w:b w:val="0"/>
          <w:bCs w:val="0"/>
          <w:sz w:val="22"/>
          <w:szCs w:val="22"/>
        </w:rPr>
        <w:t xml:space="preserve">is that planting trees must not be used as an excuse for continuing with our high carbon emissions. </w:t>
      </w:r>
      <w:r w:rsidR="00717780">
        <w:rPr>
          <w:rFonts w:asciiTheme="minorHAnsi" w:hAnsiTheme="minorHAnsi" w:cstheme="minorHAnsi"/>
          <w:b w:val="0"/>
          <w:bCs w:val="0"/>
          <w:sz w:val="22"/>
          <w:szCs w:val="22"/>
        </w:rPr>
        <w:t xml:space="preserve"> Tree planting </w:t>
      </w:r>
      <w:r w:rsidR="003E221C">
        <w:rPr>
          <w:rFonts w:asciiTheme="minorHAnsi" w:hAnsiTheme="minorHAnsi" w:cstheme="minorHAnsi"/>
          <w:b w:val="0"/>
          <w:bCs w:val="0"/>
          <w:sz w:val="22"/>
          <w:szCs w:val="22"/>
        </w:rPr>
        <w:t xml:space="preserve">is essential but </w:t>
      </w:r>
      <w:r w:rsidR="00717780">
        <w:rPr>
          <w:rFonts w:asciiTheme="minorHAnsi" w:hAnsiTheme="minorHAnsi" w:cstheme="minorHAnsi"/>
          <w:b w:val="0"/>
          <w:bCs w:val="0"/>
          <w:sz w:val="22"/>
          <w:szCs w:val="22"/>
        </w:rPr>
        <w:t xml:space="preserve">must be coordinated with reductions in current carbon emission programmes by all sponsors).  </w:t>
      </w:r>
    </w:p>
    <w:p w14:paraId="5E3E58D4" w14:textId="18E29DAD" w:rsidR="00717780" w:rsidRDefault="00717780" w:rsidP="00A23720">
      <w:pPr>
        <w:pStyle w:val="Heading1"/>
        <w:spacing w:before="0" w:beforeAutospacing="0" w:after="0" w:afterAutospacing="0"/>
        <w:ind w:left="709" w:hanging="709"/>
        <w:textAlignment w:val="baseline"/>
        <w:rPr>
          <w:rFonts w:asciiTheme="minorHAnsi" w:hAnsiTheme="minorHAnsi" w:cstheme="minorHAnsi"/>
        </w:rPr>
      </w:pPr>
    </w:p>
    <w:p w14:paraId="48C7B576" w14:textId="77777777" w:rsidR="00717780" w:rsidRPr="00A23720" w:rsidRDefault="00717780" w:rsidP="00A23720">
      <w:pPr>
        <w:pStyle w:val="Heading1"/>
        <w:spacing w:before="0" w:beforeAutospacing="0" w:after="0" w:afterAutospacing="0"/>
        <w:ind w:left="709" w:hanging="709"/>
        <w:textAlignment w:val="baseline"/>
        <w:rPr>
          <w:rFonts w:asciiTheme="minorHAnsi" w:hAnsiTheme="minorHAnsi" w:cstheme="minorHAnsi"/>
        </w:rPr>
      </w:pPr>
    </w:p>
    <w:p w14:paraId="59E69A71" w14:textId="77777777" w:rsidR="00A23720" w:rsidRDefault="00A23720" w:rsidP="00A23720">
      <w:pPr>
        <w:pStyle w:val="Heading1"/>
        <w:spacing w:before="0" w:beforeAutospacing="0" w:after="0" w:afterAutospacing="0"/>
        <w:textAlignment w:val="baseline"/>
        <w:rPr>
          <w:rFonts w:ascii="Trebuchet MS" w:hAnsi="Trebuchet MS"/>
          <w:color w:val="FFFFFF"/>
          <w:sz w:val="82"/>
          <w:szCs w:val="82"/>
        </w:rPr>
      </w:pPr>
      <w:r>
        <w:rPr>
          <w:rFonts w:ascii="Trebuchet MS" w:hAnsi="Trebuchet MS"/>
          <w:color w:val="FFFFFF"/>
          <w:sz w:val="82"/>
          <w:szCs w:val="82"/>
        </w:rPr>
        <w:t>The biggest problem with carbon offsetting is that it doesn’t really work</w:t>
      </w:r>
    </w:p>
    <w:p w14:paraId="4BE56346" w14:textId="77777777" w:rsidR="00D04A06" w:rsidRPr="00D04A06" w:rsidRDefault="00D04A06" w:rsidP="00D04A06">
      <w:pPr>
        <w:pStyle w:val="NormalWeb"/>
        <w:ind w:left="720"/>
        <w:rPr>
          <w:b/>
          <w:bCs/>
        </w:rPr>
      </w:pPr>
    </w:p>
    <w:p w14:paraId="6F96B732" w14:textId="5421C72C" w:rsidR="007821B9" w:rsidRPr="007821B9" w:rsidRDefault="007821B9" w:rsidP="007821B9"/>
    <w:sectPr w:rsidR="007821B9" w:rsidRPr="007821B9" w:rsidSect="003D743B">
      <w:pgSz w:w="11900" w:h="16840"/>
      <w:pgMar w:top="656" w:right="1440" w:bottom="18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8C573" w14:textId="77777777" w:rsidR="000C07B8" w:rsidRDefault="000C07B8" w:rsidP="004A2B77">
      <w:r>
        <w:separator/>
      </w:r>
    </w:p>
  </w:endnote>
  <w:endnote w:type="continuationSeparator" w:id="0">
    <w:p w14:paraId="15F4138A" w14:textId="77777777" w:rsidR="000C07B8" w:rsidRDefault="000C07B8" w:rsidP="004A2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etaPlusNormal">
    <w:altName w:val="Cambria"/>
    <w:panose1 w:val="020B0604020202020204"/>
    <w:charset w:val="00"/>
    <w:family w:val="roman"/>
    <w:notTrueType/>
    <w:pitch w:val="default"/>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roman"/>
    <w:pitch w:val="default"/>
  </w:font>
  <w:font w:name="TimesNewRomanPS">
    <w:altName w:val="Times New Roman"/>
    <w:panose1 w:val="020B0604020202020204"/>
    <w:charset w:val="00"/>
    <w:family w:val="roman"/>
    <w:notTrueType/>
    <w:pitch w:val="default"/>
  </w:font>
  <w:font w:name="Times">
    <w:altName w:val="﷽﷽﷽﷽﷽﷽﷽﷽"/>
    <w:panose1 w:val="00000500000000020000"/>
    <w:charset w:val="00"/>
    <w:family w:val="auto"/>
    <w:pitch w:val="variable"/>
    <w:sig w:usb0="E00002FF" w:usb1="5000205A" w:usb2="00000000" w:usb3="00000000" w:csb0="0000019F" w:csb1="00000000"/>
  </w:font>
  <w:font w:name="Times New Roman,Bold">
    <w:altName w:val="Times New Roman"/>
    <w:panose1 w:val="00000800000000020000"/>
    <w:charset w:val="00"/>
    <w:family w:val="auto"/>
    <w:pitch w:val="variable"/>
    <w:sig w:usb0="E00002FF" w:usb1="5000205A" w:usb2="00000000" w:usb3="00000000" w:csb0="0000019F" w:csb1="00000000"/>
  </w:font>
  <w:font w:name="Times New Roman,BoldItalic">
    <w:altName w:val="Times New Roman"/>
    <w:panose1 w:val="00000800000000090000"/>
    <w:charset w:val="00"/>
    <w:family w:val="auto"/>
    <w:pitch w:val="variable"/>
    <w:sig w:usb0="E00002FF" w:usb1="5000205A" w:usb2="00000000" w:usb3="00000000" w:csb0="0000019F" w:csb1="00000000"/>
  </w:font>
  <w:font w:name="Calibri (Body)">
    <w:panose1 w:val="020B0604020202020204"/>
    <w:charset w:val="00"/>
    <w:family w:val="roman"/>
    <w:notTrueType/>
    <w:pitch w:val="default"/>
  </w:font>
  <w:font w:name="Helvetica Neue">
    <w:altName w:val="﷽﷽﷽﷽﷽﷽﷽﷽a Neue"/>
    <w:panose1 w:val="02000503000000020004"/>
    <w:charset w:val="00"/>
    <w:family w:val="auto"/>
    <w:pitch w:val="variable"/>
    <w:sig w:usb0="E50002FF" w:usb1="500079DB" w:usb2="0000001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21DAA8" w14:textId="77777777" w:rsidR="000C07B8" w:rsidRDefault="000C07B8" w:rsidP="004A2B77">
      <w:r>
        <w:separator/>
      </w:r>
    </w:p>
  </w:footnote>
  <w:footnote w:type="continuationSeparator" w:id="0">
    <w:p w14:paraId="1A9946FA" w14:textId="77777777" w:rsidR="000C07B8" w:rsidRDefault="000C07B8" w:rsidP="004A2B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A5337"/>
    <w:multiLevelType w:val="hybridMultilevel"/>
    <w:tmpl w:val="0C32430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A3456"/>
    <w:multiLevelType w:val="hybridMultilevel"/>
    <w:tmpl w:val="1E74D188"/>
    <w:lvl w:ilvl="0" w:tplc="AFB2C2D6">
      <w:start w:val="1"/>
      <w:numFmt w:val="decimal"/>
      <w:lvlText w:val="%1."/>
      <w:lvlJc w:val="left"/>
      <w:pPr>
        <w:ind w:left="720" w:hanging="360"/>
      </w:pPr>
      <w:rPr>
        <w:rFonts w:ascii="MetaPlusNormal" w:hAnsi="MetaPlusNormal"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8E2C4D"/>
    <w:multiLevelType w:val="multilevel"/>
    <w:tmpl w:val="6F101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26344"/>
    <w:multiLevelType w:val="hybridMultilevel"/>
    <w:tmpl w:val="4FCA7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851CEC"/>
    <w:multiLevelType w:val="hybridMultilevel"/>
    <w:tmpl w:val="C4162F1A"/>
    <w:lvl w:ilvl="0" w:tplc="FBB8668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BD74B0"/>
    <w:multiLevelType w:val="hybridMultilevel"/>
    <w:tmpl w:val="4AF899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5D4BBF"/>
    <w:multiLevelType w:val="multilevel"/>
    <w:tmpl w:val="4C582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97E3D"/>
    <w:multiLevelType w:val="hybridMultilevel"/>
    <w:tmpl w:val="74320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0062FF"/>
    <w:multiLevelType w:val="hybridMultilevel"/>
    <w:tmpl w:val="AA9CB44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AC242A"/>
    <w:multiLevelType w:val="multilevel"/>
    <w:tmpl w:val="10DC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D01681"/>
    <w:multiLevelType w:val="hybridMultilevel"/>
    <w:tmpl w:val="B1CC95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420998"/>
    <w:multiLevelType w:val="hybridMultilevel"/>
    <w:tmpl w:val="7E1A4308"/>
    <w:lvl w:ilvl="0" w:tplc="0F440D2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EE24D7A"/>
    <w:multiLevelType w:val="hybridMultilevel"/>
    <w:tmpl w:val="795AE2C6"/>
    <w:lvl w:ilvl="0" w:tplc="3A02C54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238451C"/>
    <w:multiLevelType w:val="hybridMultilevel"/>
    <w:tmpl w:val="8EAE25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7310C5"/>
    <w:multiLevelType w:val="hybridMultilevel"/>
    <w:tmpl w:val="CC9AB9D8"/>
    <w:lvl w:ilvl="0" w:tplc="3134DE96">
      <w:start w:val="5"/>
      <w:numFmt w:val="decimal"/>
      <w:lvlText w:val="%1."/>
      <w:lvlJc w:val="left"/>
      <w:pPr>
        <w:ind w:left="720" w:hanging="360"/>
      </w:pPr>
      <w:rPr>
        <w:rFonts w:ascii="Times New Roman" w:hAnsi="Times New Roman" w:hint="default"/>
        <w:b/>
        <w:color w:val="3030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1A5F70"/>
    <w:multiLevelType w:val="hybridMultilevel"/>
    <w:tmpl w:val="5F8E4D94"/>
    <w:lvl w:ilvl="0" w:tplc="ABF43932">
      <w:start w:val="1"/>
      <w:numFmt w:val="decimal"/>
      <w:lvlText w:val="%1."/>
      <w:lvlJc w:val="left"/>
      <w:pPr>
        <w:ind w:left="1069" w:hanging="360"/>
      </w:pPr>
      <w:rPr>
        <w:rFonts w:hint="default"/>
        <w:b w:val="0"/>
        <w:bCs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36767D12"/>
    <w:multiLevelType w:val="hybridMultilevel"/>
    <w:tmpl w:val="26501AE6"/>
    <w:lvl w:ilvl="0" w:tplc="72E6691A">
      <w:start w:val="1"/>
      <w:numFmt w:val="upperLetter"/>
      <w:lvlText w:val="%1."/>
      <w:lvlJc w:val="left"/>
      <w:pPr>
        <w:ind w:left="720" w:hanging="360"/>
      </w:pPr>
      <w:rPr>
        <w:rFonts w:hint="default"/>
        <w:b/>
        <w:b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0C6CA7"/>
    <w:multiLevelType w:val="hybridMultilevel"/>
    <w:tmpl w:val="A602324E"/>
    <w:lvl w:ilvl="0" w:tplc="08090015">
      <w:start w:val="1"/>
      <w:numFmt w:val="upperLetter"/>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E6784D"/>
    <w:multiLevelType w:val="hybridMultilevel"/>
    <w:tmpl w:val="E5489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454A41"/>
    <w:multiLevelType w:val="multilevel"/>
    <w:tmpl w:val="C670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F360D6"/>
    <w:multiLevelType w:val="multilevel"/>
    <w:tmpl w:val="844C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075F53"/>
    <w:multiLevelType w:val="hybridMultilevel"/>
    <w:tmpl w:val="593A8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7212A5"/>
    <w:multiLevelType w:val="hybridMultilevel"/>
    <w:tmpl w:val="C616B0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466AD1"/>
    <w:multiLevelType w:val="hybridMultilevel"/>
    <w:tmpl w:val="36AAA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5A76A3"/>
    <w:multiLevelType w:val="multilevel"/>
    <w:tmpl w:val="5788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BE12BB"/>
    <w:multiLevelType w:val="hybridMultilevel"/>
    <w:tmpl w:val="0A8C1594"/>
    <w:lvl w:ilvl="0" w:tplc="C80AD60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B90427"/>
    <w:multiLevelType w:val="hybridMultilevel"/>
    <w:tmpl w:val="C9A8EFF8"/>
    <w:lvl w:ilvl="0" w:tplc="5A4EC248">
      <w:start w:val="1"/>
      <w:numFmt w:val="decimal"/>
      <w:lvlText w:val="%1."/>
      <w:lvlJc w:val="left"/>
      <w:pPr>
        <w:ind w:left="360" w:hanging="360"/>
      </w:pPr>
      <w:rPr>
        <w:rFonts w:hint="default"/>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D34DBD"/>
    <w:multiLevelType w:val="hybridMultilevel"/>
    <w:tmpl w:val="5F18B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BD1356"/>
    <w:multiLevelType w:val="hybridMultilevel"/>
    <w:tmpl w:val="7E1A4308"/>
    <w:lvl w:ilvl="0" w:tplc="0F440D2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DBC2E8B"/>
    <w:multiLevelType w:val="multilevel"/>
    <w:tmpl w:val="6B0A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00570C"/>
    <w:multiLevelType w:val="hybridMultilevel"/>
    <w:tmpl w:val="FB904C0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752FF9"/>
    <w:multiLevelType w:val="hybridMultilevel"/>
    <w:tmpl w:val="255476AE"/>
    <w:lvl w:ilvl="0" w:tplc="9E8605CC">
      <w:start w:val="1"/>
      <w:numFmt w:val="upperLetter"/>
      <w:lvlText w:val="%1."/>
      <w:lvlJc w:val="left"/>
      <w:pPr>
        <w:ind w:left="720" w:hanging="360"/>
      </w:pPr>
      <w:rPr>
        <w:rFonts w:asciiTheme="minorHAnsi" w:eastAsiaTheme="minorHAnsi" w:hAnsiTheme="minorHAnsi" w:cstheme="minorBidi"/>
      </w:rPr>
    </w:lvl>
    <w:lvl w:ilvl="1" w:tplc="7F6005C8">
      <w:start w:val="1"/>
      <w:numFmt w:val="decimal"/>
      <w:lvlText w:val="%2."/>
      <w:lvlJc w:val="left"/>
      <w:pPr>
        <w:ind w:left="1440" w:hanging="360"/>
      </w:pPr>
      <w:rPr>
        <w:rFonts w:ascii="Times New Roman" w:eastAsia="Times New Roman" w:hAnsi="Times New Roman" w:cs="Times New Roman"/>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FD2142"/>
    <w:multiLevelType w:val="hybridMultilevel"/>
    <w:tmpl w:val="2528F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4D6C74"/>
    <w:multiLevelType w:val="multilevel"/>
    <w:tmpl w:val="BE1C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3D39A8"/>
    <w:multiLevelType w:val="hybridMultilevel"/>
    <w:tmpl w:val="D1484824"/>
    <w:lvl w:ilvl="0" w:tplc="1946DF5C">
      <w:start w:val="1"/>
      <w:numFmt w:val="decimal"/>
      <w:lvlText w:val="%1."/>
      <w:lvlJc w:val="left"/>
      <w:pPr>
        <w:ind w:left="720" w:hanging="360"/>
      </w:pPr>
      <w:rPr>
        <w:rFonts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9A4069"/>
    <w:multiLevelType w:val="hybridMultilevel"/>
    <w:tmpl w:val="572003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4A0E1F"/>
    <w:multiLevelType w:val="hybridMultilevel"/>
    <w:tmpl w:val="157EF076"/>
    <w:lvl w:ilvl="0" w:tplc="BE208D52">
      <w:start w:val="10"/>
      <w:numFmt w:val="decimal"/>
      <w:lvlText w:val="%1."/>
      <w:lvlJc w:val="left"/>
      <w:pPr>
        <w:ind w:left="720" w:hanging="360"/>
      </w:pPr>
      <w:rPr>
        <w:rFonts w:ascii="Times New Roman" w:hAnsi="Times New Roman" w:cs="Times New Roman" w:hint="default"/>
        <w:color w:val="33333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6D209D"/>
    <w:multiLevelType w:val="hybridMultilevel"/>
    <w:tmpl w:val="4D2863F8"/>
    <w:lvl w:ilvl="0" w:tplc="A7920FBE">
      <w:start w:val="1"/>
      <w:numFmt w:val="decimal"/>
      <w:lvlText w:val="%1."/>
      <w:lvlJc w:val="left"/>
      <w:pPr>
        <w:ind w:left="720" w:hanging="360"/>
      </w:pPr>
      <w:rPr>
        <w:rFonts w:eastAsiaTheme="minorHAnsi" w:hint="default"/>
        <w:b/>
        <w:color w:val="11111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FAA0F4E"/>
    <w:multiLevelType w:val="hybridMultilevel"/>
    <w:tmpl w:val="7B222E3A"/>
    <w:lvl w:ilvl="0" w:tplc="B0F8AA44">
      <w:start w:val="1"/>
      <w:numFmt w:val="decimal"/>
      <w:lvlText w:val="%1."/>
      <w:lvlJc w:val="left"/>
      <w:pPr>
        <w:ind w:left="720" w:hanging="360"/>
      </w:pPr>
      <w:rPr>
        <w:rFonts w:ascii="Times New Roman" w:hAnsi="Times New Roman" w:cs="Times New Roman"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0506E61"/>
    <w:multiLevelType w:val="hybridMultilevel"/>
    <w:tmpl w:val="DAA22C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7B6A53"/>
    <w:multiLevelType w:val="hybridMultilevel"/>
    <w:tmpl w:val="F2CC360E"/>
    <w:lvl w:ilvl="0" w:tplc="2806CA5E">
      <w:start w:val="1"/>
      <w:numFmt w:val="lowerLetter"/>
      <w:lvlText w:val="%1."/>
      <w:lvlJc w:val="left"/>
      <w:pPr>
        <w:ind w:left="1080" w:hanging="360"/>
      </w:pPr>
      <w:rPr>
        <w:rFonts w:hint="default"/>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51E541B"/>
    <w:multiLevelType w:val="hybridMultilevel"/>
    <w:tmpl w:val="B7802976"/>
    <w:lvl w:ilvl="0" w:tplc="BA9C7E88">
      <w:start w:val="5"/>
      <w:numFmt w:val="decimal"/>
      <w:lvlText w:val="%1."/>
      <w:lvlJc w:val="left"/>
      <w:pPr>
        <w:ind w:left="720" w:hanging="360"/>
      </w:pPr>
      <w:rPr>
        <w:rFonts w:hint="default"/>
        <w:color w:val="505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4C0D0D"/>
    <w:multiLevelType w:val="hybridMultilevel"/>
    <w:tmpl w:val="E7B488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956F25"/>
    <w:multiLevelType w:val="multilevel"/>
    <w:tmpl w:val="62AE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32"/>
  </w:num>
  <w:num w:numId="4">
    <w:abstractNumId w:val="2"/>
  </w:num>
  <w:num w:numId="5">
    <w:abstractNumId w:val="43"/>
  </w:num>
  <w:num w:numId="6">
    <w:abstractNumId w:val="33"/>
  </w:num>
  <w:num w:numId="7">
    <w:abstractNumId w:val="21"/>
  </w:num>
  <w:num w:numId="8">
    <w:abstractNumId w:val="18"/>
  </w:num>
  <w:num w:numId="9">
    <w:abstractNumId w:val="23"/>
  </w:num>
  <w:num w:numId="10">
    <w:abstractNumId w:val="7"/>
  </w:num>
  <w:num w:numId="11">
    <w:abstractNumId w:val="35"/>
  </w:num>
  <w:num w:numId="12">
    <w:abstractNumId w:val="36"/>
  </w:num>
  <w:num w:numId="13">
    <w:abstractNumId w:val="37"/>
  </w:num>
  <w:num w:numId="14">
    <w:abstractNumId w:val="40"/>
  </w:num>
  <w:num w:numId="15">
    <w:abstractNumId w:val="22"/>
  </w:num>
  <w:num w:numId="16">
    <w:abstractNumId w:val="34"/>
  </w:num>
  <w:num w:numId="17">
    <w:abstractNumId w:val="17"/>
  </w:num>
  <w:num w:numId="18">
    <w:abstractNumId w:val="26"/>
  </w:num>
  <w:num w:numId="19">
    <w:abstractNumId w:val="1"/>
  </w:num>
  <w:num w:numId="20">
    <w:abstractNumId w:val="15"/>
  </w:num>
  <w:num w:numId="21">
    <w:abstractNumId w:val="25"/>
  </w:num>
  <w:num w:numId="22">
    <w:abstractNumId w:val="13"/>
  </w:num>
  <w:num w:numId="23">
    <w:abstractNumId w:val="8"/>
  </w:num>
  <w:num w:numId="24">
    <w:abstractNumId w:val="30"/>
  </w:num>
  <w:num w:numId="25">
    <w:abstractNumId w:val="27"/>
  </w:num>
  <w:num w:numId="26">
    <w:abstractNumId w:val="39"/>
  </w:num>
  <w:num w:numId="27">
    <w:abstractNumId w:val="11"/>
  </w:num>
  <w:num w:numId="28">
    <w:abstractNumId w:val="28"/>
  </w:num>
  <w:num w:numId="29">
    <w:abstractNumId w:val="41"/>
  </w:num>
  <w:num w:numId="30">
    <w:abstractNumId w:val="14"/>
  </w:num>
  <w:num w:numId="31">
    <w:abstractNumId w:val="31"/>
  </w:num>
  <w:num w:numId="32">
    <w:abstractNumId w:val="29"/>
  </w:num>
  <w:num w:numId="33">
    <w:abstractNumId w:val="24"/>
  </w:num>
  <w:num w:numId="34">
    <w:abstractNumId w:val="38"/>
  </w:num>
  <w:num w:numId="35">
    <w:abstractNumId w:val="6"/>
  </w:num>
  <w:num w:numId="36">
    <w:abstractNumId w:val="20"/>
  </w:num>
  <w:num w:numId="37">
    <w:abstractNumId w:val="19"/>
  </w:num>
  <w:num w:numId="38">
    <w:abstractNumId w:val="9"/>
  </w:num>
  <w:num w:numId="39">
    <w:abstractNumId w:val="42"/>
  </w:num>
  <w:num w:numId="40">
    <w:abstractNumId w:val="3"/>
  </w:num>
  <w:num w:numId="41">
    <w:abstractNumId w:val="16"/>
  </w:num>
  <w:num w:numId="42">
    <w:abstractNumId w:val="4"/>
  </w:num>
  <w:num w:numId="43">
    <w:abstractNumId w:val="12"/>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07E"/>
    <w:rsid w:val="0000521B"/>
    <w:rsid w:val="00020BDE"/>
    <w:rsid w:val="000243AE"/>
    <w:rsid w:val="000257C1"/>
    <w:rsid w:val="0003101A"/>
    <w:rsid w:val="000322FC"/>
    <w:rsid w:val="00035304"/>
    <w:rsid w:val="00044907"/>
    <w:rsid w:val="000457FA"/>
    <w:rsid w:val="000479E2"/>
    <w:rsid w:val="00060E4E"/>
    <w:rsid w:val="00067DBD"/>
    <w:rsid w:val="00081521"/>
    <w:rsid w:val="000C07B8"/>
    <w:rsid w:val="000C248D"/>
    <w:rsid w:val="000C4271"/>
    <w:rsid w:val="000C77E6"/>
    <w:rsid w:val="00111031"/>
    <w:rsid w:val="00115A92"/>
    <w:rsid w:val="00127B97"/>
    <w:rsid w:val="001443B2"/>
    <w:rsid w:val="00151102"/>
    <w:rsid w:val="00151833"/>
    <w:rsid w:val="00194617"/>
    <w:rsid w:val="001A4791"/>
    <w:rsid w:val="001B0B9C"/>
    <w:rsid w:val="001E33A1"/>
    <w:rsid w:val="001E44D4"/>
    <w:rsid w:val="001F2EFF"/>
    <w:rsid w:val="00215585"/>
    <w:rsid w:val="00221E93"/>
    <w:rsid w:val="002471A8"/>
    <w:rsid w:val="002709CC"/>
    <w:rsid w:val="0029321B"/>
    <w:rsid w:val="0029454F"/>
    <w:rsid w:val="002A0E1F"/>
    <w:rsid w:val="002A39DF"/>
    <w:rsid w:val="002C0325"/>
    <w:rsid w:val="002C2500"/>
    <w:rsid w:val="002D04F0"/>
    <w:rsid w:val="002D6209"/>
    <w:rsid w:val="0030072E"/>
    <w:rsid w:val="00303E9E"/>
    <w:rsid w:val="00307AF5"/>
    <w:rsid w:val="0032075A"/>
    <w:rsid w:val="00377B76"/>
    <w:rsid w:val="00380EC3"/>
    <w:rsid w:val="0039350C"/>
    <w:rsid w:val="003A5D70"/>
    <w:rsid w:val="003C77B4"/>
    <w:rsid w:val="003D4B0C"/>
    <w:rsid w:val="003D743B"/>
    <w:rsid w:val="003E221C"/>
    <w:rsid w:val="003E7B4A"/>
    <w:rsid w:val="003F1A85"/>
    <w:rsid w:val="003F6C97"/>
    <w:rsid w:val="003F6F88"/>
    <w:rsid w:val="00412494"/>
    <w:rsid w:val="004132A3"/>
    <w:rsid w:val="0041686F"/>
    <w:rsid w:val="00416D04"/>
    <w:rsid w:val="00432D9A"/>
    <w:rsid w:val="00442224"/>
    <w:rsid w:val="004720DE"/>
    <w:rsid w:val="004726B1"/>
    <w:rsid w:val="00494702"/>
    <w:rsid w:val="004A2B77"/>
    <w:rsid w:val="004A2C61"/>
    <w:rsid w:val="004A3CF4"/>
    <w:rsid w:val="004C2697"/>
    <w:rsid w:val="004D602B"/>
    <w:rsid w:val="004D6896"/>
    <w:rsid w:val="004E17DA"/>
    <w:rsid w:val="004F1A33"/>
    <w:rsid w:val="005000E2"/>
    <w:rsid w:val="005075F6"/>
    <w:rsid w:val="00511D68"/>
    <w:rsid w:val="00516933"/>
    <w:rsid w:val="0051741D"/>
    <w:rsid w:val="005211F1"/>
    <w:rsid w:val="00536FDA"/>
    <w:rsid w:val="0055007E"/>
    <w:rsid w:val="00570F42"/>
    <w:rsid w:val="005A7555"/>
    <w:rsid w:val="005D3157"/>
    <w:rsid w:val="005E666B"/>
    <w:rsid w:val="006278BC"/>
    <w:rsid w:val="00647211"/>
    <w:rsid w:val="00655C23"/>
    <w:rsid w:val="00692E60"/>
    <w:rsid w:val="006B5697"/>
    <w:rsid w:val="006C074A"/>
    <w:rsid w:val="006C1665"/>
    <w:rsid w:val="006D7EA3"/>
    <w:rsid w:val="006E3D55"/>
    <w:rsid w:val="006E5805"/>
    <w:rsid w:val="006E7436"/>
    <w:rsid w:val="00705CF2"/>
    <w:rsid w:val="0071601E"/>
    <w:rsid w:val="00717780"/>
    <w:rsid w:val="0072307B"/>
    <w:rsid w:val="007325A6"/>
    <w:rsid w:val="00746E1C"/>
    <w:rsid w:val="007502D4"/>
    <w:rsid w:val="00750337"/>
    <w:rsid w:val="00774E47"/>
    <w:rsid w:val="007773F7"/>
    <w:rsid w:val="007821B9"/>
    <w:rsid w:val="00787AAB"/>
    <w:rsid w:val="007A0446"/>
    <w:rsid w:val="007A3266"/>
    <w:rsid w:val="007A7293"/>
    <w:rsid w:val="007B041F"/>
    <w:rsid w:val="007B0781"/>
    <w:rsid w:val="007D7D6C"/>
    <w:rsid w:val="007F6A3B"/>
    <w:rsid w:val="0081506F"/>
    <w:rsid w:val="00852DDD"/>
    <w:rsid w:val="008549F3"/>
    <w:rsid w:val="00860FF3"/>
    <w:rsid w:val="008650F7"/>
    <w:rsid w:val="00867354"/>
    <w:rsid w:val="008741B0"/>
    <w:rsid w:val="008854A8"/>
    <w:rsid w:val="008954AB"/>
    <w:rsid w:val="008D07F1"/>
    <w:rsid w:val="008D710B"/>
    <w:rsid w:val="008E05CB"/>
    <w:rsid w:val="008E3710"/>
    <w:rsid w:val="00903845"/>
    <w:rsid w:val="009111D1"/>
    <w:rsid w:val="0091445C"/>
    <w:rsid w:val="009339F6"/>
    <w:rsid w:val="009410E9"/>
    <w:rsid w:val="009716C0"/>
    <w:rsid w:val="00976599"/>
    <w:rsid w:val="009A6E1A"/>
    <w:rsid w:val="009B22FE"/>
    <w:rsid w:val="009B4EAF"/>
    <w:rsid w:val="009C03EA"/>
    <w:rsid w:val="009F5A56"/>
    <w:rsid w:val="00A14F44"/>
    <w:rsid w:val="00A15B5B"/>
    <w:rsid w:val="00A23720"/>
    <w:rsid w:val="00A258DA"/>
    <w:rsid w:val="00A306BF"/>
    <w:rsid w:val="00A32621"/>
    <w:rsid w:val="00A35AE9"/>
    <w:rsid w:val="00A7596F"/>
    <w:rsid w:val="00A82534"/>
    <w:rsid w:val="00A91AE2"/>
    <w:rsid w:val="00AA1425"/>
    <w:rsid w:val="00AA39F1"/>
    <w:rsid w:val="00AA57DF"/>
    <w:rsid w:val="00AB319E"/>
    <w:rsid w:val="00AB36F3"/>
    <w:rsid w:val="00AB578E"/>
    <w:rsid w:val="00AC4AED"/>
    <w:rsid w:val="00AE6D7B"/>
    <w:rsid w:val="00B01396"/>
    <w:rsid w:val="00B04586"/>
    <w:rsid w:val="00B21E28"/>
    <w:rsid w:val="00B2374B"/>
    <w:rsid w:val="00B3411B"/>
    <w:rsid w:val="00B34D31"/>
    <w:rsid w:val="00B436E6"/>
    <w:rsid w:val="00B457AD"/>
    <w:rsid w:val="00B54BF2"/>
    <w:rsid w:val="00B802E7"/>
    <w:rsid w:val="00BA2484"/>
    <w:rsid w:val="00BA3F4F"/>
    <w:rsid w:val="00BA4E28"/>
    <w:rsid w:val="00BD5252"/>
    <w:rsid w:val="00BD60B7"/>
    <w:rsid w:val="00BE3DB7"/>
    <w:rsid w:val="00BE6223"/>
    <w:rsid w:val="00BE64E1"/>
    <w:rsid w:val="00BF048A"/>
    <w:rsid w:val="00C14A45"/>
    <w:rsid w:val="00C6616C"/>
    <w:rsid w:val="00C66739"/>
    <w:rsid w:val="00C75DDE"/>
    <w:rsid w:val="00C769CF"/>
    <w:rsid w:val="00CB3CDE"/>
    <w:rsid w:val="00D04A06"/>
    <w:rsid w:val="00D32A7B"/>
    <w:rsid w:val="00D46A0B"/>
    <w:rsid w:val="00D612F9"/>
    <w:rsid w:val="00D6605F"/>
    <w:rsid w:val="00D70F86"/>
    <w:rsid w:val="00D72CD1"/>
    <w:rsid w:val="00DC670A"/>
    <w:rsid w:val="00DE0130"/>
    <w:rsid w:val="00DE5FC0"/>
    <w:rsid w:val="00DF5E6E"/>
    <w:rsid w:val="00DF6BAD"/>
    <w:rsid w:val="00E12AAF"/>
    <w:rsid w:val="00E152BD"/>
    <w:rsid w:val="00E425C3"/>
    <w:rsid w:val="00E53747"/>
    <w:rsid w:val="00E541E3"/>
    <w:rsid w:val="00E553B0"/>
    <w:rsid w:val="00E55B82"/>
    <w:rsid w:val="00E62B96"/>
    <w:rsid w:val="00E70B48"/>
    <w:rsid w:val="00E76802"/>
    <w:rsid w:val="00E80460"/>
    <w:rsid w:val="00E8785E"/>
    <w:rsid w:val="00E92CAA"/>
    <w:rsid w:val="00ED5335"/>
    <w:rsid w:val="00EE3148"/>
    <w:rsid w:val="00F01215"/>
    <w:rsid w:val="00F168C2"/>
    <w:rsid w:val="00F176A7"/>
    <w:rsid w:val="00F3668E"/>
    <w:rsid w:val="00F47B22"/>
    <w:rsid w:val="00F627BE"/>
    <w:rsid w:val="00F64A08"/>
    <w:rsid w:val="00F6566D"/>
    <w:rsid w:val="00F728E1"/>
    <w:rsid w:val="00F87DCF"/>
    <w:rsid w:val="00F90F75"/>
    <w:rsid w:val="00FB5367"/>
    <w:rsid w:val="00FC2C04"/>
    <w:rsid w:val="00FC4350"/>
    <w:rsid w:val="00FE79C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7D993"/>
  <w15:chartTrackingRefBased/>
  <w15:docId w15:val="{5E1B7064-4460-7249-BF4F-EF9C4B418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EC3"/>
    <w:rPr>
      <w:rFonts w:ascii="Times New Roman" w:eastAsia="Times New Roman" w:hAnsi="Times New Roman" w:cs="Times New Roman"/>
      <w:lang w:eastAsia="en-GB"/>
    </w:rPr>
  </w:style>
  <w:style w:type="paragraph" w:styleId="Heading1">
    <w:name w:val="heading 1"/>
    <w:basedOn w:val="Normal"/>
    <w:link w:val="Heading1Char"/>
    <w:uiPriority w:val="9"/>
    <w:qFormat/>
    <w:rsid w:val="00FC2C04"/>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5DDE"/>
    <w:pPr>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9B22FE"/>
    <w:pPr>
      <w:spacing w:before="100" w:beforeAutospacing="1" w:after="100" w:afterAutospacing="1"/>
    </w:pPr>
    <w:rPr>
      <w:lang w:eastAsia="en-US"/>
    </w:rPr>
  </w:style>
  <w:style w:type="character" w:styleId="Hyperlink">
    <w:name w:val="Hyperlink"/>
    <w:basedOn w:val="DefaultParagraphFont"/>
    <w:uiPriority w:val="99"/>
    <w:unhideWhenUsed/>
    <w:rsid w:val="002D04F0"/>
    <w:rPr>
      <w:color w:val="0000FF"/>
      <w:u w:val="single"/>
    </w:rPr>
  </w:style>
  <w:style w:type="character" w:customStyle="1" w:styleId="apple-converted-space">
    <w:name w:val="apple-converted-space"/>
    <w:basedOn w:val="DefaultParagraphFont"/>
    <w:rsid w:val="002D04F0"/>
  </w:style>
  <w:style w:type="character" w:styleId="Strong">
    <w:name w:val="Strong"/>
    <w:basedOn w:val="DefaultParagraphFont"/>
    <w:uiPriority w:val="22"/>
    <w:qFormat/>
    <w:rsid w:val="002D04F0"/>
    <w:rPr>
      <w:b/>
      <w:bCs/>
    </w:rPr>
  </w:style>
  <w:style w:type="character" w:styleId="UnresolvedMention">
    <w:name w:val="Unresolved Mention"/>
    <w:basedOn w:val="DefaultParagraphFont"/>
    <w:uiPriority w:val="99"/>
    <w:semiHidden/>
    <w:unhideWhenUsed/>
    <w:rsid w:val="00D32A7B"/>
    <w:rPr>
      <w:color w:val="605E5C"/>
      <w:shd w:val="clear" w:color="auto" w:fill="E1DFDD"/>
    </w:rPr>
  </w:style>
  <w:style w:type="paragraph" w:customStyle="1" w:styleId="nova-e-listitem">
    <w:name w:val="nova-e-list__item"/>
    <w:basedOn w:val="Normal"/>
    <w:rsid w:val="00151102"/>
    <w:pPr>
      <w:spacing w:before="100" w:beforeAutospacing="1" w:after="100" w:afterAutospacing="1"/>
    </w:pPr>
    <w:rPr>
      <w:lang w:eastAsia="en-US"/>
    </w:rPr>
  </w:style>
  <w:style w:type="paragraph" w:styleId="BalloonText">
    <w:name w:val="Balloon Text"/>
    <w:basedOn w:val="Normal"/>
    <w:link w:val="BalloonTextChar"/>
    <w:uiPriority w:val="99"/>
    <w:semiHidden/>
    <w:unhideWhenUsed/>
    <w:rsid w:val="00151102"/>
    <w:rPr>
      <w:sz w:val="18"/>
      <w:szCs w:val="18"/>
    </w:rPr>
  </w:style>
  <w:style w:type="character" w:customStyle="1" w:styleId="BalloonTextChar">
    <w:name w:val="Balloon Text Char"/>
    <w:basedOn w:val="DefaultParagraphFont"/>
    <w:link w:val="BalloonText"/>
    <w:uiPriority w:val="99"/>
    <w:semiHidden/>
    <w:rsid w:val="00151102"/>
    <w:rPr>
      <w:rFonts w:ascii="Times New Roman" w:hAnsi="Times New Roman" w:cs="Times New Roman"/>
      <w:sz w:val="18"/>
      <w:szCs w:val="18"/>
    </w:rPr>
  </w:style>
  <w:style w:type="paragraph" w:styleId="NoSpacing">
    <w:name w:val="No Spacing"/>
    <w:uiPriority w:val="1"/>
    <w:qFormat/>
    <w:rsid w:val="006278BC"/>
  </w:style>
  <w:style w:type="paragraph" w:styleId="Header">
    <w:name w:val="header"/>
    <w:basedOn w:val="Normal"/>
    <w:link w:val="HeaderChar"/>
    <w:uiPriority w:val="99"/>
    <w:unhideWhenUsed/>
    <w:rsid w:val="004A2B77"/>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4A2B77"/>
  </w:style>
  <w:style w:type="paragraph" w:styleId="Footer">
    <w:name w:val="footer"/>
    <w:basedOn w:val="Normal"/>
    <w:link w:val="FooterChar"/>
    <w:uiPriority w:val="99"/>
    <w:unhideWhenUsed/>
    <w:rsid w:val="004A2B77"/>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4A2B77"/>
  </w:style>
  <w:style w:type="character" w:customStyle="1" w:styleId="title-text">
    <w:name w:val="title-text"/>
    <w:basedOn w:val="DefaultParagraphFont"/>
    <w:rsid w:val="000C4271"/>
  </w:style>
  <w:style w:type="character" w:customStyle="1" w:styleId="Heading1Char">
    <w:name w:val="Heading 1 Char"/>
    <w:basedOn w:val="DefaultParagraphFont"/>
    <w:link w:val="Heading1"/>
    <w:uiPriority w:val="9"/>
    <w:rsid w:val="00FC2C04"/>
    <w:rPr>
      <w:rFonts w:ascii="Times New Roman" w:eastAsia="Times New Roman" w:hAnsi="Times New Roman" w:cs="Times New Roman"/>
      <w:b/>
      <w:bCs/>
      <w:kern w:val="36"/>
      <w:sz w:val="48"/>
      <w:szCs w:val="48"/>
      <w:lang w:eastAsia="en-GB"/>
    </w:rPr>
  </w:style>
  <w:style w:type="character" w:customStyle="1" w:styleId="al-author-name-more">
    <w:name w:val="al-author-name-more"/>
    <w:basedOn w:val="DefaultParagraphFont"/>
    <w:rsid w:val="00FC2C04"/>
  </w:style>
  <w:style w:type="character" w:customStyle="1" w:styleId="delimiter">
    <w:name w:val="delimiter"/>
    <w:basedOn w:val="DefaultParagraphFont"/>
    <w:rsid w:val="00FC2C04"/>
  </w:style>
  <w:style w:type="character" w:styleId="Emphasis">
    <w:name w:val="Emphasis"/>
    <w:basedOn w:val="DefaultParagraphFont"/>
    <w:uiPriority w:val="20"/>
    <w:qFormat/>
    <w:rsid w:val="00FC2C04"/>
    <w:rPr>
      <w:i/>
      <w:iCs/>
    </w:rPr>
  </w:style>
  <w:style w:type="character" w:customStyle="1" w:styleId="a">
    <w:name w:val="_"/>
    <w:basedOn w:val="DefaultParagraphFont"/>
    <w:rsid w:val="00303E9E"/>
  </w:style>
  <w:style w:type="table" w:styleId="TableGrid">
    <w:name w:val="Table Grid"/>
    <w:basedOn w:val="TableNormal"/>
    <w:uiPriority w:val="39"/>
    <w:rsid w:val="00B013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0F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79920">
      <w:bodyDiv w:val="1"/>
      <w:marLeft w:val="0"/>
      <w:marRight w:val="0"/>
      <w:marTop w:val="0"/>
      <w:marBottom w:val="0"/>
      <w:divBdr>
        <w:top w:val="none" w:sz="0" w:space="0" w:color="auto"/>
        <w:left w:val="none" w:sz="0" w:space="0" w:color="auto"/>
        <w:bottom w:val="none" w:sz="0" w:space="0" w:color="auto"/>
        <w:right w:val="none" w:sz="0" w:space="0" w:color="auto"/>
      </w:divBdr>
      <w:divsChild>
        <w:div w:id="100534843">
          <w:marLeft w:val="0"/>
          <w:marRight w:val="0"/>
          <w:marTop w:val="0"/>
          <w:marBottom w:val="0"/>
          <w:divBdr>
            <w:top w:val="none" w:sz="0" w:space="0" w:color="auto"/>
            <w:left w:val="none" w:sz="0" w:space="0" w:color="auto"/>
            <w:bottom w:val="none" w:sz="0" w:space="0" w:color="auto"/>
            <w:right w:val="none" w:sz="0" w:space="0" w:color="auto"/>
          </w:divBdr>
          <w:divsChild>
            <w:div w:id="402216943">
              <w:marLeft w:val="0"/>
              <w:marRight w:val="0"/>
              <w:marTop w:val="0"/>
              <w:marBottom w:val="0"/>
              <w:divBdr>
                <w:top w:val="none" w:sz="0" w:space="0" w:color="auto"/>
                <w:left w:val="none" w:sz="0" w:space="0" w:color="auto"/>
                <w:bottom w:val="none" w:sz="0" w:space="0" w:color="auto"/>
                <w:right w:val="none" w:sz="0" w:space="0" w:color="auto"/>
              </w:divBdr>
              <w:divsChild>
                <w:div w:id="566496651">
                  <w:marLeft w:val="0"/>
                  <w:marRight w:val="0"/>
                  <w:marTop w:val="0"/>
                  <w:marBottom w:val="0"/>
                  <w:divBdr>
                    <w:top w:val="none" w:sz="0" w:space="0" w:color="auto"/>
                    <w:left w:val="none" w:sz="0" w:space="0" w:color="auto"/>
                    <w:bottom w:val="none" w:sz="0" w:space="0" w:color="auto"/>
                    <w:right w:val="none" w:sz="0" w:space="0" w:color="auto"/>
                  </w:divBdr>
                  <w:divsChild>
                    <w:div w:id="212677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24344">
      <w:bodyDiv w:val="1"/>
      <w:marLeft w:val="0"/>
      <w:marRight w:val="0"/>
      <w:marTop w:val="0"/>
      <w:marBottom w:val="0"/>
      <w:divBdr>
        <w:top w:val="none" w:sz="0" w:space="0" w:color="auto"/>
        <w:left w:val="none" w:sz="0" w:space="0" w:color="auto"/>
        <w:bottom w:val="none" w:sz="0" w:space="0" w:color="auto"/>
        <w:right w:val="none" w:sz="0" w:space="0" w:color="auto"/>
      </w:divBdr>
      <w:divsChild>
        <w:div w:id="1512914631">
          <w:marLeft w:val="0"/>
          <w:marRight w:val="0"/>
          <w:marTop w:val="0"/>
          <w:marBottom w:val="0"/>
          <w:divBdr>
            <w:top w:val="none" w:sz="0" w:space="0" w:color="auto"/>
            <w:left w:val="none" w:sz="0" w:space="0" w:color="auto"/>
            <w:bottom w:val="none" w:sz="0" w:space="0" w:color="auto"/>
            <w:right w:val="none" w:sz="0" w:space="0" w:color="auto"/>
          </w:divBdr>
        </w:div>
        <w:div w:id="1659502654">
          <w:marLeft w:val="0"/>
          <w:marRight w:val="0"/>
          <w:marTop w:val="0"/>
          <w:marBottom w:val="0"/>
          <w:divBdr>
            <w:top w:val="none" w:sz="0" w:space="0" w:color="auto"/>
            <w:left w:val="none" w:sz="0" w:space="0" w:color="auto"/>
            <w:bottom w:val="none" w:sz="0" w:space="0" w:color="auto"/>
            <w:right w:val="none" w:sz="0" w:space="0" w:color="auto"/>
          </w:divBdr>
        </w:div>
        <w:div w:id="1563443756">
          <w:marLeft w:val="0"/>
          <w:marRight w:val="0"/>
          <w:marTop w:val="0"/>
          <w:marBottom w:val="0"/>
          <w:divBdr>
            <w:top w:val="none" w:sz="0" w:space="0" w:color="auto"/>
            <w:left w:val="none" w:sz="0" w:space="0" w:color="auto"/>
            <w:bottom w:val="none" w:sz="0" w:space="0" w:color="auto"/>
            <w:right w:val="none" w:sz="0" w:space="0" w:color="auto"/>
          </w:divBdr>
        </w:div>
        <w:div w:id="957878944">
          <w:marLeft w:val="0"/>
          <w:marRight w:val="0"/>
          <w:marTop w:val="0"/>
          <w:marBottom w:val="0"/>
          <w:divBdr>
            <w:top w:val="none" w:sz="0" w:space="0" w:color="auto"/>
            <w:left w:val="none" w:sz="0" w:space="0" w:color="auto"/>
            <w:bottom w:val="none" w:sz="0" w:space="0" w:color="auto"/>
            <w:right w:val="none" w:sz="0" w:space="0" w:color="auto"/>
          </w:divBdr>
        </w:div>
      </w:divsChild>
    </w:div>
    <w:div w:id="327441558">
      <w:bodyDiv w:val="1"/>
      <w:marLeft w:val="0"/>
      <w:marRight w:val="0"/>
      <w:marTop w:val="0"/>
      <w:marBottom w:val="0"/>
      <w:divBdr>
        <w:top w:val="none" w:sz="0" w:space="0" w:color="auto"/>
        <w:left w:val="none" w:sz="0" w:space="0" w:color="auto"/>
        <w:bottom w:val="none" w:sz="0" w:space="0" w:color="auto"/>
        <w:right w:val="none" w:sz="0" w:space="0" w:color="auto"/>
      </w:divBdr>
      <w:divsChild>
        <w:div w:id="935918">
          <w:marLeft w:val="0"/>
          <w:marRight w:val="0"/>
          <w:marTop w:val="165"/>
          <w:marBottom w:val="165"/>
          <w:divBdr>
            <w:top w:val="none" w:sz="0" w:space="0" w:color="auto"/>
            <w:left w:val="none" w:sz="0" w:space="0" w:color="auto"/>
            <w:bottom w:val="none" w:sz="0" w:space="0" w:color="auto"/>
            <w:right w:val="none" w:sz="0" w:space="0" w:color="auto"/>
          </w:divBdr>
          <w:divsChild>
            <w:div w:id="1763380782">
              <w:marLeft w:val="0"/>
              <w:marRight w:val="0"/>
              <w:marTop w:val="0"/>
              <w:marBottom w:val="0"/>
              <w:divBdr>
                <w:top w:val="none" w:sz="0" w:space="0" w:color="auto"/>
                <w:left w:val="none" w:sz="0" w:space="0" w:color="auto"/>
                <w:bottom w:val="none" w:sz="0" w:space="0" w:color="auto"/>
                <w:right w:val="none" w:sz="0" w:space="0" w:color="auto"/>
              </w:divBdr>
              <w:divsChild>
                <w:div w:id="11587344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85178217">
          <w:marLeft w:val="0"/>
          <w:marRight w:val="0"/>
          <w:marTop w:val="0"/>
          <w:marBottom w:val="0"/>
          <w:divBdr>
            <w:top w:val="none" w:sz="0" w:space="0" w:color="auto"/>
            <w:left w:val="none" w:sz="0" w:space="0" w:color="auto"/>
            <w:bottom w:val="none" w:sz="0" w:space="0" w:color="auto"/>
            <w:right w:val="none" w:sz="0" w:space="0" w:color="auto"/>
          </w:divBdr>
          <w:divsChild>
            <w:div w:id="1070536722">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18982936">
      <w:bodyDiv w:val="1"/>
      <w:marLeft w:val="0"/>
      <w:marRight w:val="0"/>
      <w:marTop w:val="0"/>
      <w:marBottom w:val="0"/>
      <w:divBdr>
        <w:top w:val="none" w:sz="0" w:space="0" w:color="auto"/>
        <w:left w:val="none" w:sz="0" w:space="0" w:color="auto"/>
        <w:bottom w:val="none" w:sz="0" w:space="0" w:color="auto"/>
        <w:right w:val="none" w:sz="0" w:space="0" w:color="auto"/>
      </w:divBdr>
      <w:divsChild>
        <w:div w:id="527330576">
          <w:marLeft w:val="0"/>
          <w:marRight w:val="0"/>
          <w:marTop w:val="0"/>
          <w:marBottom w:val="0"/>
          <w:divBdr>
            <w:top w:val="none" w:sz="0" w:space="0" w:color="auto"/>
            <w:left w:val="none" w:sz="0" w:space="0" w:color="auto"/>
            <w:bottom w:val="none" w:sz="0" w:space="0" w:color="auto"/>
            <w:right w:val="none" w:sz="0" w:space="0" w:color="auto"/>
          </w:divBdr>
          <w:divsChild>
            <w:div w:id="1699501213">
              <w:marLeft w:val="0"/>
              <w:marRight w:val="0"/>
              <w:marTop w:val="0"/>
              <w:marBottom w:val="0"/>
              <w:divBdr>
                <w:top w:val="none" w:sz="0" w:space="0" w:color="auto"/>
                <w:left w:val="none" w:sz="0" w:space="0" w:color="auto"/>
                <w:bottom w:val="none" w:sz="0" w:space="0" w:color="auto"/>
                <w:right w:val="none" w:sz="0" w:space="0" w:color="auto"/>
              </w:divBdr>
              <w:divsChild>
                <w:div w:id="4158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699224">
      <w:bodyDiv w:val="1"/>
      <w:marLeft w:val="0"/>
      <w:marRight w:val="0"/>
      <w:marTop w:val="0"/>
      <w:marBottom w:val="0"/>
      <w:divBdr>
        <w:top w:val="none" w:sz="0" w:space="0" w:color="auto"/>
        <w:left w:val="none" w:sz="0" w:space="0" w:color="auto"/>
        <w:bottom w:val="none" w:sz="0" w:space="0" w:color="auto"/>
        <w:right w:val="none" w:sz="0" w:space="0" w:color="auto"/>
      </w:divBdr>
      <w:divsChild>
        <w:div w:id="889346031">
          <w:marLeft w:val="0"/>
          <w:marRight w:val="0"/>
          <w:marTop w:val="0"/>
          <w:marBottom w:val="0"/>
          <w:divBdr>
            <w:top w:val="none" w:sz="0" w:space="0" w:color="auto"/>
            <w:left w:val="none" w:sz="0" w:space="0" w:color="auto"/>
            <w:bottom w:val="none" w:sz="0" w:space="0" w:color="auto"/>
            <w:right w:val="none" w:sz="0" w:space="0" w:color="auto"/>
          </w:divBdr>
          <w:divsChild>
            <w:div w:id="2113428474">
              <w:marLeft w:val="0"/>
              <w:marRight w:val="0"/>
              <w:marTop w:val="0"/>
              <w:marBottom w:val="0"/>
              <w:divBdr>
                <w:top w:val="none" w:sz="0" w:space="0" w:color="auto"/>
                <w:left w:val="none" w:sz="0" w:space="0" w:color="auto"/>
                <w:bottom w:val="none" w:sz="0" w:space="0" w:color="auto"/>
                <w:right w:val="none" w:sz="0" w:space="0" w:color="auto"/>
              </w:divBdr>
              <w:divsChild>
                <w:div w:id="8874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87646">
      <w:bodyDiv w:val="1"/>
      <w:marLeft w:val="0"/>
      <w:marRight w:val="0"/>
      <w:marTop w:val="0"/>
      <w:marBottom w:val="0"/>
      <w:divBdr>
        <w:top w:val="none" w:sz="0" w:space="0" w:color="auto"/>
        <w:left w:val="none" w:sz="0" w:space="0" w:color="auto"/>
        <w:bottom w:val="none" w:sz="0" w:space="0" w:color="auto"/>
        <w:right w:val="none" w:sz="0" w:space="0" w:color="auto"/>
      </w:divBdr>
    </w:div>
    <w:div w:id="470247369">
      <w:bodyDiv w:val="1"/>
      <w:marLeft w:val="0"/>
      <w:marRight w:val="0"/>
      <w:marTop w:val="0"/>
      <w:marBottom w:val="0"/>
      <w:divBdr>
        <w:top w:val="none" w:sz="0" w:space="0" w:color="auto"/>
        <w:left w:val="none" w:sz="0" w:space="0" w:color="auto"/>
        <w:bottom w:val="none" w:sz="0" w:space="0" w:color="auto"/>
        <w:right w:val="none" w:sz="0" w:space="0" w:color="auto"/>
      </w:divBdr>
    </w:div>
    <w:div w:id="477956897">
      <w:bodyDiv w:val="1"/>
      <w:marLeft w:val="0"/>
      <w:marRight w:val="0"/>
      <w:marTop w:val="0"/>
      <w:marBottom w:val="0"/>
      <w:divBdr>
        <w:top w:val="none" w:sz="0" w:space="0" w:color="auto"/>
        <w:left w:val="none" w:sz="0" w:space="0" w:color="auto"/>
        <w:bottom w:val="none" w:sz="0" w:space="0" w:color="auto"/>
        <w:right w:val="none" w:sz="0" w:space="0" w:color="auto"/>
      </w:divBdr>
    </w:div>
    <w:div w:id="636035758">
      <w:bodyDiv w:val="1"/>
      <w:marLeft w:val="0"/>
      <w:marRight w:val="0"/>
      <w:marTop w:val="0"/>
      <w:marBottom w:val="0"/>
      <w:divBdr>
        <w:top w:val="none" w:sz="0" w:space="0" w:color="auto"/>
        <w:left w:val="none" w:sz="0" w:space="0" w:color="auto"/>
        <w:bottom w:val="none" w:sz="0" w:space="0" w:color="auto"/>
        <w:right w:val="none" w:sz="0" w:space="0" w:color="auto"/>
      </w:divBdr>
      <w:divsChild>
        <w:div w:id="779685646">
          <w:marLeft w:val="0"/>
          <w:marRight w:val="0"/>
          <w:marTop w:val="0"/>
          <w:marBottom w:val="0"/>
          <w:divBdr>
            <w:top w:val="none" w:sz="0" w:space="0" w:color="auto"/>
            <w:left w:val="none" w:sz="0" w:space="0" w:color="auto"/>
            <w:bottom w:val="none" w:sz="0" w:space="0" w:color="auto"/>
            <w:right w:val="none" w:sz="0" w:space="0" w:color="auto"/>
          </w:divBdr>
          <w:divsChild>
            <w:div w:id="2040084675">
              <w:marLeft w:val="0"/>
              <w:marRight w:val="0"/>
              <w:marTop w:val="0"/>
              <w:marBottom w:val="0"/>
              <w:divBdr>
                <w:top w:val="none" w:sz="0" w:space="0" w:color="auto"/>
                <w:left w:val="none" w:sz="0" w:space="0" w:color="auto"/>
                <w:bottom w:val="none" w:sz="0" w:space="0" w:color="auto"/>
                <w:right w:val="none" w:sz="0" w:space="0" w:color="auto"/>
              </w:divBdr>
              <w:divsChild>
                <w:div w:id="1822572775">
                  <w:marLeft w:val="0"/>
                  <w:marRight w:val="0"/>
                  <w:marTop w:val="0"/>
                  <w:marBottom w:val="0"/>
                  <w:divBdr>
                    <w:top w:val="none" w:sz="0" w:space="0" w:color="auto"/>
                    <w:left w:val="none" w:sz="0" w:space="0" w:color="auto"/>
                    <w:bottom w:val="none" w:sz="0" w:space="0" w:color="auto"/>
                    <w:right w:val="none" w:sz="0" w:space="0" w:color="auto"/>
                  </w:divBdr>
                  <w:divsChild>
                    <w:div w:id="230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738092">
      <w:bodyDiv w:val="1"/>
      <w:marLeft w:val="0"/>
      <w:marRight w:val="0"/>
      <w:marTop w:val="0"/>
      <w:marBottom w:val="0"/>
      <w:divBdr>
        <w:top w:val="none" w:sz="0" w:space="0" w:color="auto"/>
        <w:left w:val="none" w:sz="0" w:space="0" w:color="auto"/>
        <w:bottom w:val="none" w:sz="0" w:space="0" w:color="auto"/>
        <w:right w:val="none" w:sz="0" w:space="0" w:color="auto"/>
      </w:divBdr>
      <w:divsChild>
        <w:div w:id="1971788549">
          <w:marLeft w:val="0"/>
          <w:marRight w:val="0"/>
          <w:marTop w:val="0"/>
          <w:marBottom w:val="0"/>
          <w:divBdr>
            <w:top w:val="none" w:sz="0" w:space="0" w:color="auto"/>
            <w:left w:val="none" w:sz="0" w:space="0" w:color="auto"/>
            <w:bottom w:val="none" w:sz="0" w:space="0" w:color="auto"/>
            <w:right w:val="none" w:sz="0" w:space="0" w:color="auto"/>
          </w:divBdr>
          <w:divsChild>
            <w:div w:id="135681230">
              <w:marLeft w:val="0"/>
              <w:marRight w:val="0"/>
              <w:marTop w:val="0"/>
              <w:marBottom w:val="0"/>
              <w:divBdr>
                <w:top w:val="none" w:sz="0" w:space="0" w:color="auto"/>
                <w:left w:val="none" w:sz="0" w:space="0" w:color="auto"/>
                <w:bottom w:val="none" w:sz="0" w:space="0" w:color="auto"/>
                <w:right w:val="none" w:sz="0" w:space="0" w:color="auto"/>
              </w:divBdr>
              <w:divsChild>
                <w:div w:id="1940791348">
                  <w:marLeft w:val="0"/>
                  <w:marRight w:val="0"/>
                  <w:marTop w:val="0"/>
                  <w:marBottom w:val="0"/>
                  <w:divBdr>
                    <w:top w:val="none" w:sz="0" w:space="0" w:color="auto"/>
                    <w:left w:val="none" w:sz="0" w:space="0" w:color="auto"/>
                    <w:bottom w:val="none" w:sz="0" w:space="0" w:color="auto"/>
                    <w:right w:val="none" w:sz="0" w:space="0" w:color="auto"/>
                  </w:divBdr>
                  <w:divsChild>
                    <w:div w:id="8108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643538">
      <w:bodyDiv w:val="1"/>
      <w:marLeft w:val="0"/>
      <w:marRight w:val="0"/>
      <w:marTop w:val="0"/>
      <w:marBottom w:val="0"/>
      <w:divBdr>
        <w:top w:val="none" w:sz="0" w:space="0" w:color="auto"/>
        <w:left w:val="none" w:sz="0" w:space="0" w:color="auto"/>
        <w:bottom w:val="none" w:sz="0" w:space="0" w:color="auto"/>
        <w:right w:val="none" w:sz="0" w:space="0" w:color="auto"/>
      </w:divBdr>
    </w:div>
    <w:div w:id="832376894">
      <w:bodyDiv w:val="1"/>
      <w:marLeft w:val="0"/>
      <w:marRight w:val="0"/>
      <w:marTop w:val="0"/>
      <w:marBottom w:val="0"/>
      <w:divBdr>
        <w:top w:val="none" w:sz="0" w:space="0" w:color="auto"/>
        <w:left w:val="none" w:sz="0" w:space="0" w:color="auto"/>
        <w:bottom w:val="none" w:sz="0" w:space="0" w:color="auto"/>
        <w:right w:val="none" w:sz="0" w:space="0" w:color="auto"/>
      </w:divBdr>
      <w:divsChild>
        <w:div w:id="104618515">
          <w:marLeft w:val="0"/>
          <w:marRight w:val="0"/>
          <w:marTop w:val="0"/>
          <w:marBottom w:val="0"/>
          <w:divBdr>
            <w:top w:val="none" w:sz="0" w:space="0" w:color="auto"/>
            <w:left w:val="none" w:sz="0" w:space="0" w:color="auto"/>
            <w:bottom w:val="none" w:sz="0" w:space="0" w:color="auto"/>
            <w:right w:val="none" w:sz="0" w:space="0" w:color="auto"/>
          </w:divBdr>
          <w:divsChild>
            <w:div w:id="1976638643">
              <w:marLeft w:val="0"/>
              <w:marRight w:val="0"/>
              <w:marTop w:val="0"/>
              <w:marBottom w:val="0"/>
              <w:divBdr>
                <w:top w:val="none" w:sz="0" w:space="0" w:color="auto"/>
                <w:left w:val="none" w:sz="0" w:space="0" w:color="auto"/>
                <w:bottom w:val="none" w:sz="0" w:space="0" w:color="auto"/>
                <w:right w:val="none" w:sz="0" w:space="0" w:color="auto"/>
              </w:divBdr>
              <w:divsChild>
                <w:div w:id="13294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465994">
      <w:bodyDiv w:val="1"/>
      <w:marLeft w:val="0"/>
      <w:marRight w:val="0"/>
      <w:marTop w:val="0"/>
      <w:marBottom w:val="0"/>
      <w:divBdr>
        <w:top w:val="none" w:sz="0" w:space="0" w:color="auto"/>
        <w:left w:val="none" w:sz="0" w:space="0" w:color="auto"/>
        <w:bottom w:val="none" w:sz="0" w:space="0" w:color="auto"/>
        <w:right w:val="none" w:sz="0" w:space="0" w:color="auto"/>
      </w:divBdr>
      <w:divsChild>
        <w:div w:id="2116439248">
          <w:marLeft w:val="0"/>
          <w:marRight w:val="0"/>
          <w:marTop w:val="0"/>
          <w:marBottom w:val="75"/>
          <w:divBdr>
            <w:top w:val="none" w:sz="0" w:space="0" w:color="auto"/>
            <w:left w:val="none" w:sz="0" w:space="0" w:color="auto"/>
            <w:bottom w:val="none" w:sz="0" w:space="0" w:color="auto"/>
            <w:right w:val="none" w:sz="0" w:space="0" w:color="auto"/>
          </w:divBdr>
        </w:div>
        <w:div w:id="501703798">
          <w:marLeft w:val="0"/>
          <w:marRight w:val="0"/>
          <w:marTop w:val="0"/>
          <w:marBottom w:val="75"/>
          <w:divBdr>
            <w:top w:val="none" w:sz="0" w:space="0" w:color="auto"/>
            <w:left w:val="none" w:sz="0" w:space="0" w:color="auto"/>
            <w:bottom w:val="none" w:sz="0" w:space="0" w:color="auto"/>
            <w:right w:val="none" w:sz="0" w:space="0" w:color="auto"/>
          </w:divBdr>
        </w:div>
      </w:divsChild>
    </w:div>
    <w:div w:id="917441110">
      <w:bodyDiv w:val="1"/>
      <w:marLeft w:val="0"/>
      <w:marRight w:val="0"/>
      <w:marTop w:val="0"/>
      <w:marBottom w:val="0"/>
      <w:divBdr>
        <w:top w:val="none" w:sz="0" w:space="0" w:color="auto"/>
        <w:left w:val="none" w:sz="0" w:space="0" w:color="auto"/>
        <w:bottom w:val="none" w:sz="0" w:space="0" w:color="auto"/>
        <w:right w:val="none" w:sz="0" w:space="0" w:color="auto"/>
      </w:divBdr>
    </w:div>
    <w:div w:id="924461406">
      <w:bodyDiv w:val="1"/>
      <w:marLeft w:val="0"/>
      <w:marRight w:val="0"/>
      <w:marTop w:val="0"/>
      <w:marBottom w:val="0"/>
      <w:divBdr>
        <w:top w:val="none" w:sz="0" w:space="0" w:color="auto"/>
        <w:left w:val="none" w:sz="0" w:space="0" w:color="auto"/>
        <w:bottom w:val="none" w:sz="0" w:space="0" w:color="auto"/>
        <w:right w:val="none" w:sz="0" w:space="0" w:color="auto"/>
      </w:divBdr>
    </w:div>
    <w:div w:id="1056440376">
      <w:bodyDiv w:val="1"/>
      <w:marLeft w:val="0"/>
      <w:marRight w:val="0"/>
      <w:marTop w:val="0"/>
      <w:marBottom w:val="0"/>
      <w:divBdr>
        <w:top w:val="none" w:sz="0" w:space="0" w:color="auto"/>
        <w:left w:val="none" w:sz="0" w:space="0" w:color="auto"/>
        <w:bottom w:val="none" w:sz="0" w:space="0" w:color="auto"/>
        <w:right w:val="none" w:sz="0" w:space="0" w:color="auto"/>
      </w:divBdr>
      <w:divsChild>
        <w:div w:id="140121848">
          <w:marLeft w:val="0"/>
          <w:marRight w:val="0"/>
          <w:marTop w:val="0"/>
          <w:marBottom w:val="0"/>
          <w:divBdr>
            <w:top w:val="none" w:sz="0" w:space="0" w:color="auto"/>
            <w:left w:val="none" w:sz="0" w:space="0" w:color="auto"/>
            <w:bottom w:val="none" w:sz="0" w:space="0" w:color="auto"/>
            <w:right w:val="none" w:sz="0" w:space="0" w:color="auto"/>
          </w:divBdr>
          <w:divsChild>
            <w:div w:id="1989285676">
              <w:marLeft w:val="0"/>
              <w:marRight w:val="0"/>
              <w:marTop w:val="0"/>
              <w:marBottom w:val="0"/>
              <w:divBdr>
                <w:top w:val="none" w:sz="0" w:space="0" w:color="auto"/>
                <w:left w:val="none" w:sz="0" w:space="0" w:color="auto"/>
                <w:bottom w:val="none" w:sz="0" w:space="0" w:color="auto"/>
                <w:right w:val="none" w:sz="0" w:space="0" w:color="auto"/>
              </w:divBdr>
              <w:divsChild>
                <w:div w:id="1875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83579">
      <w:bodyDiv w:val="1"/>
      <w:marLeft w:val="0"/>
      <w:marRight w:val="0"/>
      <w:marTop w:val="0"/>
      <w:marBottom w:val="0"/>
      <w:divBdr>
        <w:top w:val="none" w:sz="0" w:space="0" w:color="auto"/>
        <w:left w:val="none" w:sz="0" w:space="0" w:color="auto"/>
        <w:bottom w:val="none" w:sz="0" w:space="0" w:color="auto"/>
        <w:right w:val="none" w:sz="0" w:space="0" w:color="auto"/>
      </w:divBdr>
      <w:divsChild>
        <w:div w:id="707418620">
          <w:marLeft w:val="0"/>
          <w:marRight w:val="0"/>
          <w:marTop w:val="0"/>
          <w:marBottom w:val="0"/>
          <w:divBdr>
            <w:top w:val="none" w:sz="0" w:space="0" w:color="auto"/>
            <w:left w:val="none" w:sz="0" w:space="0" w:color="auto"/>
            <w:bottom w:val="none" w:sz="0" w:space="0" w:color="auto"/>
            <w:right w:val="none" w:sz="0" w:space="0" w:color="auto"/>
          </w:divBdr>
          <w:divsChild>
            <w:div w:id="1584990260">
              <w:marLeft w:val="0"/>
              <w:marRight w:val="0"/>
              <w:marTop w:val="0"/>
              <w:marBottom w:val="0"/>
              <w:divBdr>
                <w:top w:val="none" w:sz="0" w:space="0" w:color="auto"/>
                <w:left w:val="none" w:sz="0" w:space="0" w:color="auto"/>
                <w:bottom w:val="none" w:sz="0" w:space="0" w:color="auto"/>
                <w:right w:val="none" w:sz="0" w:space="0" w:color="auto"/>
              </w:divBdr>
              <w:divsChild>
                <w:div w:id="30508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360968">
      <w:bodyDiv w:val="1"/>
      <w:marLeft w:val="0"/>
      <w:marRight w:val="0"/>
      <w:marTop w:val="0"/>
      <w:marBottom w:val="0"/>
      <w:divBdr>
        <w:top w:val="none" w:sz="0" w:space="0" w:color="auto"/>
        <w:left w:val="none" w:sz="0" w:space="0" w:color="auto"/>
        <w:bottom w:val="none" w:sz="0" w:space="0" w:color="auto"/>
        <w:right w:val="none" w:sz="0" w:space="0" w:color="auto"/>
      </w:divBdr>
      <w:divsChild>
        <w:div w:id="1763333601">
          <w:marLeft w:val="0"/>
          <w:marRight w:val="0"/>
          <w:marTop w:val="0"/>
          <w:marBottom w:val="0"/>
          <w:divBdr>
            <w:top w:val="none" w:sz="0" w:space="0" w:color="auto"/>
            <w:left w:val="none" w:sz="0" w:space="0" w:color="auto"/>
            <w:bottom w:val="none" w:sz="0" w:space="0" w:color="auto"/>
            <w:right w:val="none" w:sz="0" w:space="0" w:color="auto"/>
          </w:divBdr>
          <w:divsChild>
            <w:div w:id="224997262">
              <w:marLeft w:val="0"/>
              <w:marRight w:val="0"/>
              <w:marTop w:val="0"/>
              <w:marBottom w:val="0"/>
              <w:divBdr>
                <w:top w:val="none" w:sz="0" w:space="0" w:color="auto"/>
                <w:left w:val="none" w:sz="0" w:space="0" w:color="auto"/>
                <w:bottom w:val="none" w:sz="0" w:space="0" w:color="auto"/>
                <w:right w:val="none" w:sz="0" w:space="0" w:color="auto"/>
              </w:divBdr>
              <w:divsChild>
                <w:div w:id="115737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98911">
      <w:bodyDiv w:val="1"/>
      <w:marLeft w:val="0"/>
      <w:marRight w:val="0"/>
      <w:marTop w:val="0"/>
      <w:marBottom w:val="0"/>
      <w:divBdr>
        <w:top w:val="none" w:sz="0" w:space="0" w:color="auto"/>
        <w:left w:val="none" w:sz="0" w:space="0" w:color="auto"/>
        <w:bottom w:val="none" w:sz="0" w:space="0" w:color="auto"/>
        <w:right w:val="none" w:sz="0" w:space="0" w:color="auto"/>
      </w:divBdr>
      <w:divsChild>
        <w:div w:id="187762597">
          <w:marLeft w:val="0"/>
          <w:marRight w:val="0"/>
          <w:marTop w:val="0"/>
          <w:marBottom w:val="0"/>
          <w:divBdr>
            <w:top w:val="none" w:sz="0" w:space="0" w:color="auto"/>
            <w:left w:val="none" w:sz="0" w:space="0" w:color="auto"/>
            <w:bottom w:val="none" w:sz="0" w:space="0" w:color="auto"/>
            <w:right w:val="none" w:sz="0" w:space="0" w:color="auto"/>
          </w:divBdr>
          <w:divsChild>
            <w:div w:id="215944043">
              <w:marLeft w:val="0"/>
              <w:marRight w:val="0"/>
              <w:marTop w:val="0"/>
              <w:marBottom w:val="0"/>
              <w:divBdr>
                <w:top w:val="none" w:sz="0" w:space="0" w:color="auto"/>
                <w:left w:val="none" w:sz="0" w:space="0" w:color="auto"/>
                <w:bottom w:val="none" w:sz="0" w:space="0" w:color="auto"/>
                <w:right w:val="none" w:sz="0" w:space="0" w:color="auto"/>
              </w:divBdr>
              <w:divsChild>
                <w:div w:id="317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10508">
      <w:bodyDiv w:val="1"/>
      <w:marLeft w:val="0"/>
      <w:marRight w:val="0"/>
      <w:marTop w:val="0"/>
      <w:marBottom w:val="0"/>
      <w:divBdr>
        <w:top w:val="none" w:sz="0" w:space="0" w:color="auto"/>
        <w:left w:val="none" w:sz="0" w:space="0" w:color="auto"/>
        <w:bottom w:val="none" w:sz="0" w:space="0" w:color="auto"/>
        <w:right w:val="none" w:sz="0" w:space="0" w:color="auto"/>
      </w:divBdr>
    </w:div>
    <w:div w:id="1554078757">
      <w:bodyDiv w:val="1"/>
      <w:marLeft w:val="0"/>
      <w:marRight w:val="0"/>
      <w:marTop w:val="0"/>
      <w:marBottom w:val="0"/>
      <w:divBdr>
        <w:top w:val="none" w:sz="0" w:space="0" w:color="auto"/>
        <w:left w:val="none" w:sz="0" w:space="0" w:color="auto"/>
        <w:bottom w:val="none" w:sz="0" w:space="0" w:color="auto"/>
        <w:right w:val="none" w:sz="0" w:space="0" w:color="auto"/>
      </w:divBdr>
      <w:divsChild>
        <w:div w:id="971329007">
          <w:marLeft w:val="0"/>
          <w:marRight w:val="0"/>
          <w:marTop w:val="0"/>
          <w:marBottom w:val="0"/>
          <w:divBdr>
            <w:top w:val="none" w:sz="0" w:space="0" w:color="auto"/>
            <w:left w:val="none" w:sz="0" w:space="0" w:color="auto"/>
            <w:bottom w:val="none" w:sz="0" w:space="0" w:color="auto"/>
            <w:right w:val="none" w:sz="0" w:space="0" w:color="auto"/>
          </w:divBdr>
          <w:divsChild>
            <w:div w:id="432828005">
              <w:marLeft w:val="0"/>
              <w:marRight w:val="0"/>
              <w:marTop w:val="0"/>
              <w:marBottom w:val="0"/>
              <w:divBdr>
                <w:top w:val="none" w:sz="0" w:space="0" w:color="auto"/>
                <w:left w:val="none" w:sz="0" w:space="0" w:color="auto"/>
                <w:bottom w:val="none" w:sz="0" w:space="0" w:color="auto"/>
                <w:right w:val="none" w:sz="0" w:space="0" w:color="auto"/>
              </w:divBdr>
              <w:divsChild>
                <w:div w:id="716665614">
                  <w:marLeft w:val="0"/>
                  <w:marRight w:val="0"/>
                  <w:marTop w:val="0"/>
                  <w:marBottom w:val="0"/>
                  <w:divBdr>
                    <w:top w:val="none" w:sz="0" w:space="0" w:color="auto"/>
                    <w:left w:val="none" w:sz="0" w:space="0" w:color="auto"/>
                    <w:bottom w:val="none" w:sz="0" w:space="0" w:color="auto"/>
                    <w:right w:val="none" w:sz="0" w:space="0" w:color="auto"/>
                  </w:divBdr>
                  <w:divsChild>
                    <w:div w:id="14026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234488">
      <w:bodyDiv w:val="1"/>
      <w:marLeft w:val="0"/>
      <w:marRight w:val="0"/>
      <w:marTop w:val="0"/>
      <w:marBottom w:val="0"/>
      <w:divBdr>
        <w:top w:val="none" w:sz="0" w:space="0" w:color="auto"/>
        <w:left w:val="none" w:sz="0" w:space="0" w:color="auto"/>
        <w:bottom w:val="none" w:sz="0" w:space="0" w:color="auto"/>
        <w:right w:val="none" w:sz="0" w:space="0" w:color="auto"/>
      </w:divBdr>
      <w:divsChild>
        <w:div w:id="1576161678">
          <w:marLeft w:val="0"/>
          <w:marRight w:val="0"/>
          <w:marTop w:val="0"/>
          <w:marBottom w:val="0"/>
          <w:divBdr>
            <w:top w:val="none" w:sz="0" w:space="0" w:color="auto"/>
            <w:left w:val="none" w:sz="0" w:space="0" w:color="auto"/>
            <w:bottom w:val="none" w:sz="0" w:space="0" w:color="auto"/>
            <w:right w:val="none" w:sz="0" w:space="0" w:color="auto"/>
          </w:divBdr>
          <w:divsChild>
            <w:div w:id="291862555">
              <w:marLeft w:val="0"/>
              <w:marRight w:val="0"/>
              <w:marTop w:val="0"/>
              <w:marBottom w:val="0"/>
              <w:divBdr>
                <w:top w:val="none" w:sz="0" w:space="0" w:color="auto"/>
                <w:left w:val="none" w:sz="0" w:space="0" w:color="auto"/>
                <w:bottom w:val="none" w:sz="0" w:space="0" w:color="auto"/>
                <w:right w:val="none" w:sz="0" w:space="0" w:color="auto"/>
              </w:divBdr>
              <w:divsChild>
                <w:div w:id="961036503">
                  <w:marLeft w:val="0"/>
                  <w:marRight w:val="0"/>
                  <w:marTop w:val="0"/>
                  <w:marBottom w:val="0"/>
                  <w:divBdr>
                    <w:top w:val="none" w:sz="0" w:space="0" w:color="auto"/>
                    <w:left w:val="none" w:sz="0" w:space="0" w:color="auto"/>
                    <w:bottom w:val="none" w:sz="0" w:space="0" w:color="auto"/>
                    <w:right w:val="none" w:sz="0" w:space="0" w:color="auto"/>
                  </w:divBdr>
                  <w:divsChild>
                    <w:div w:id="11483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72562">
      <w:bodyDiv w:val="1"/>
      <w:marLeft w:val="0"/>
      <w:marRight w:val="0"/>
      <w:marTop w:val="0"/>
      <w:marBottom w:val="0"/>
      <w:divBdr>
        <w:top w:val="none" w:sz="0" w:space="0" w:color="auto"/>
        <w:left w:val="none" w:sz="0" w:space="0" w:color="auto"/>
        <w:bottom w:val="none" w:sz="0" w:space="0" w:color="auto"/>
        <w:right w:val="none" w:sz="0" w:space="0" w:color="auto"/>
      </w:divBdr>
      <w:divsChild>
        <w:div w:id="18774282">
          <w:marLeft w:val="0"/>
          <w:marRight w:val="0"/>
          <w:marTop w:val="0"/>
          <w:marBottom w:val="150"/>
          <w:divBdr>
            <w:top w:val="none" w:sz="0" w:space="0" w:color="auto"/>
            <w:left w:val="none" w:sz="0" w:space="0" w:color="auto"/>
            <w:bottom w:val="none" w:sz="0" w:space="0" w:color="auto"/>
            <w:right w:val="none" w:sz="0" w:space="0" w:color="auto"/>
          </w:divBdr>
        </w:div>
        <w:div w:id="943196798">
          <w:marLeft w:val="0"/>
          <w:marRight w:val="0"/>
          <w:marTop w:val="0"/>
          <w:marBottom w:val="225"/>
          <w:divBdr>
            <w:top w:val="none" w:sz="0" w:space="0" w:color="auto"/>
            <w:left w:val="none" w:sz="0" w:space="0" w:color="auto"/>
            <w:bottom w:val="none" w:sz="0" w:space="0" w:color="auto"/>
            <w:right w:val="none" w:sz="0" w:space="0" w:color="auto"/>
          </w:divBdr>
          <w:divsChild>
            <w:div w:id="360908261">
              <w:marLeft w:val="0"/>
              <w:marRight w:val="0"/>
              <w:marTop w:val="0"/>
              <w:marBottom w:val="0"/>
              <w:divBdr>
                <w:top w:val="none" w:sz="0" w:space="0" w:color="auto"/>
                <w:left w:val="none" w:sz="0" w:space="0" w:color="auto"/>
                <w:bottom w:val="none" w:sz="0" w:space="0" w:color="auto"/>
                <w:right w:val="none" w:sz="0" w:space="0" w:color="auto"/>
              </w:divBdr>
              <w:divsChild>
                <w:div w:id="956184438">
                  <w:marLeft w:val="0"/>
                  <w:marRight w:val="0"/>
                  <w:marTop w:val="0"/>
                  <w:marBottom w:val="75"/>
                  <w:divBdr>
                    <w:top w:val="none" w:sz="0" w:space="0" w:color="auto"/>
                    <w:left w:val="none" w:sz="0" w:space="0" w:color="auto"/>
                    <w:bottom w:val="none" w:sz="0" w:space="0" w:color="auto"/>
                    <w:right w:val="none" w:sz="0" w:space="0" w:color="auto"/>
                  </w:divBdr>
                </w:div>
                <w:div w:id="480510330">
                  <w:marLeft w:val="0"/>
                  <w:marRight w:val="0"/>
                  <w:marTop w:val="0"/>
                  <w:marBottom w:val="75"/>
                  <w:divBdr>
                    <w:top w:val="none" w:sz="0" w:space="0" w:color="auto"/>
                    <w:left w:val="none" w:sz="0" w:space="0" w:color="auto"/>
                    <w:bottom w:val="none" w:sz="0" w:space="0" w:color="auto"/>
                    <w:right w:val="none" w:sz="0" w:space="0" w:color="auto"/>
                  </w:divBdr>
                </w:div>
                <w:div w:id="13888436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679230872">
      <w:bodyDiv w:val="1"/>
      <w:marLeft w:val="0"/>
      <w:marRight w:val="0"/>
      <w:marTop w:val="0"/>
      <w:marBottom w:val="0"/>
      <w:divBdr>
        <w:top w:val="none" w:sz="0" w:space="0" w:color="auto"/>
        <w:left w:val="none" w:sz="0" w:space="0" w:color="auto"/>
        <w:bottom w:val="none" w:sz="0" w:space="0" w:color="auto"/>
        <w:right w:val="none" w:sz="0" w:space="0" w:color="auto"/>
      </w:divBdr>
      <w:divsChild>
        <w:div w:id="1503471298">
          <w:marLeft w:val="0"/>
          <w:marRight w:val="0"/>
          <w:marTop w:val="0"/>
          <w:marBottom w:val="0"/>
          <w:divBdr>
            <w:top w:val="none" w:sz="0" w:space="0" w:color="auto"/>
            <w:left w:val="none" w:sz="0" w:space="0" w:color="auto"/>
            <w:bottom w:val="none" w:sz="0" w:space="0" w:color="auto"/>
            <w:right w:val="none" w:sz="0" w:space="0" w:color="auto"/>
          </w:divBdr>
          <w:divsChild>
            <w:div w:id="694113995">
              <w:marLeft w:val="0"/>
              <w:marRight w:val="0"/>
              <w:marTop w:val="0"/>
              <w:marBottom w:val="0"/>
              <w:divBdr>
                <w:top w:val="none" w:sz="0" w:space="0" w:color="auto"/>
                <w:left w:val="none" w:sz="0" w:space="0" w:color="auto"/>
                <w:bottom w:val="none" w:sz="0" w:space="0" w:color="auto"/>
                <w:right w:val="none" w:sz="0" w:space="0" w:color="auto"/>
              </w:divBdr>
              <w:divsChild>
                <w:div w:id="21157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91344">
      <w:bodyDiv w:val="1"/>
      <w:marLeft w:val="0"/>
      <w:marRight w:val="0"/>
      <w:marTop w:val="0"/>
      <w:marBottom w:val="0"/>
      <w:divBdr>
        <w:top w:val="none" w:sz="0" w:space="0" w:color="auto"/>
        <w:left w:val="none" w:sz="0" w:space="0" w:color="auto"/>
        <w:bottom w:val="none" w:sz="0" w:space="0" w:color="auto"/>
        <w:right w:val="none" w:sz="0" w:space="0" w:color="auto"/>
      </w:divBdr>
    </w:div>
    <w:div w:id="1908296275">
      <w:bodyDiv w:val="1"/>
      <w:marLeft w:val="0"/>
      <w:marRight w:val="0"/>
      <w:marTop w:val="0"/>
      <w:marBottom w:val="0"/>
      <w:divBdr>
        <w:top w:val="none" w:sz="0" w:space="0" w:color="auto"/>
        <w:left w:val="none" w:sz="0" w:space="0" w:color="auto"/>
        <w:bottom w:val="none" w:sz="0" w:space="0" w:color="auto"/>
        <w:right w:val="none" w:sz="0" w:space="0" w:color="auto"/>
      </w:divBdr>
      <w:divsChild>
        <w:div w:id="1356342374">
          <w:marLeft w:val="0"/>
          <w:marRight w:val="0"/>
          <w:marTop w:val="0"/>
          <w:marBottom w:val="0"/>
          <w:divBdr>
            <w:top w:val="none" w:sz="0" w:space="0" w:color="auto"/>
            <w:left w:val="none" w:sz="0" w:space="0" w:color="auto"/>
            <w:bottom w:val="none" w:sz="0" w:space="0" w:color="auto"/>
            <w:right w:val="none" w:sz="0" w:space="0" w:color="auto"/>
          </w:divBdr>
          <w:divsChild>
            <w:div w:id="437526866">
              <w:marLeft w:val="0"/>
              <w:marRight w:val="0"/>
              <w:marTop w:val="0"/>
              <w:marBottom w:val="0"/>
              <w:divBdr>
                <w:top w:val="none" w:sz="0" w:space="0" w:color="auto"/>
                <w:left w:val="none" w:sz="0" w:space="0" w:color="auto"/>
                <w:bottom w:val="none" w:sz="0" w:space="0" w:color="auto"/>
                <w:right w:val="none" w:sz="0" w:space="0" w:color="auto"/>
              </w:divBdr>
              <w:divsChild>
                <w:div w:id="173103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2955">
      <w:bodyDiv w:val="1"/>
      <w:marLeft w:val="0"/>
      <w:marRight w:val="0"/>
      <w:marTop w:val="0"/>
      <w:marBottom w:val="0"/>
      <w:divBdr>
        <w:top w:val="none" w:sz="0" w:space="0" w:color="auto"/>
        <w:left w:val="none" w:sz="0" w:space="0" w:color="auto"/>
        <w:bottom w:val="none" w:sz="0" w:space="0" w:color="auto"/>
        <w:right w:val="none" w:sz="0" w:space="0" w:color="auto"/>
      </w:divBdr>
      <w:divsChild>
        <w:div w:id="812139427">
          <w:marLeft w:val="0"/>
          <w:marRight w:val="0"/>
          <w:marTop w:val="0"/>
          <w:marBottom w:val="0"/>
          <w:divBdr>
            <w:top w:val="none" w:sz="0" w:space="0" w:color="auto"/>
            <w:left w:val="none" w:sz="0" w:space="0" w:color="auto"/>
            <w:bottom w:val="none" w:sz="0" w:space="0" w:color="auto"/>
            <w:right w:val="none" w:sz="0" w:space="0" w:color="auto"/>
          </w:divBdr>
        </w:div>
        <w:div w:id="1529373749">
          <w:marLeft w:val="0"/>
          <w:marRight w:val="0"/>
          <w:marTop w:val="0"/>
          <w:marBottom w:val="0"/>
          <w:divBdr>
            <w:top w:val="none" w:sz="0" w:space="0" w:color="auto"/>
            <w:left w:val="none" w:sz="0" w:space="0" w:color="auto"/>
            <w:bottom w:val="none" w:sz="0" w:space="0" w:color="auto"/>
            <w:right w:val="none" w:sz="0" w:space="0" w:color="auto"/>
          </w:divBdr>
        </w:div>
        <w:div w:id="1729835535">
          <w:marLeft w:val="0"/>
          <w:marRight w:val="0"/>
          <w:marTop w:val="0"/>
          <w:marBottom w:val="0"/>
          <w:divBdr>
            <w:top w:val="none" w:sz="0" w:space="0" w:color="auto"/>
            <w:left w:val="none" w:sz="0" w:space="0" w:color="auto"/>
            <w:bottom w:val="none" w:sz="0" w:space="0" w:color="auto"/>
            <w:right w:val="none" w:sz="0" w:space="0" w:color="auto"/>
          </w:divBdr>
        </w:div>
        <w:div w:id="1873104933">
          <w:marLeft w:val="0"/>
          <w:marRight w:val="0"/>
          <w:marTop w:val="0"/>
          <w:marBottom w:val="0"/>
          <w:divBdr>
            <w:top w:val="none" w:sz="0" w:space="0" w:color="auto"/>
            <w:left w:val="none" w:sz="0" w:space="0" w:color="auto"/>
            <w:bottom w:val="none" w:sz="0" w:space="0" w:color="auto"/>
            <w:right w:val="none" w:sz="0" w:space="0" w:color="auto"/>
          </w:divBdr>
        </w:div>
        <w:div w:id="846868583">
          <w:marLeft w:val="0"/>
          <w:marRight w:val="0"/>
          <w:marTop w:val="0"/>
          <w:marBottom w:val="0"/>
          <w:divBdr>
            <w:top w:val="none" w:sz="0" w:space="0" w:color="auto"/>
            <w:left w:val="none" w:sz="0" w:space="0" w:color="auto"/>
            <w:bottom w:val="none" w:sz="0" w:space="0" w:color="auto"/>
            <w:right w:val="none" w:sz="0" w:space="0" w:color="auto"/>
          </w:divBdr>
        </w:div>
      </w:divsChild>
    </w:div>
    <w:div w:id="1984657762">
      <w:bodyDiv w:val="1"/>
      <w:marLeft w:val="0"/>
      <w:marRight w:val="0"/>
      <w:marTop w:val="0"/>
      <w:marBottom w:val="0"/>
      <w:divBdr>
        <w:top w:val="none" w:sz="0" w:space="0" w:color="auto"/>
        <w:left w:val="none" w:sz="0" w:space="0" w:color="auto"/>
        <w:bottom w:val="none" w:sz="0" w:space="0" w:color="auto"/>
        <w:right w:val="none" w:sz="0" w:space="0" w:color="auto"/>
      </w:divBdr>
    </w:div>
    <w:div w:id="1998267029">
      <w:bodyDiv w:val="1"/>
      <w:marLeft w:val="0"/>
      <w:marRight w:val="0"/>
      <w:marTop w:val="0"/>
      <w:marBottom w:val="0"/>
      <w:divBdr>
        <w:top w:val="none" w:sz="0" w:space="0" w:color="auto"/>
        <w:left w:val="none" w:sz="0" w:space="0" w:color="auto"/>
        <w:bottom w:val="none" w:sz="0" w:space="0" w:color="auto"/>
        <w:right w:val="none" w:sz="0" w:space="0" w:color="auto"/>
      </w:divBdr>
      <w:divsChild>
        <w:div w:id="1229809123">
          <w:marLeft w:val="0"/>
          <w:marRight w:val="0"/>
          <w:marTop w:val="0"/>
          <w:marBottom w:val="225"/>
          <w:divBdr>
            <w:top w:val="none" w:sz="0" w:space="0" w:color="auto"/>
            <w:left w:val="none" w:sz="0" w:space="0" w:color="auto"/>
            <w:bottom w:val="none" w:sz="0" w:space="0" w:color="auto"/>
            <w:right w:val="none" w:sz="0" w:space="0" w:color="auto"/>
          </w:divBdr>
          <w:divsChild>
            <w:div w:id="1464618014">
              <w:marLeft w:val="0"/>
              <w:marRight w:val="0"/>
              <w:marTop w:val="0"/>
              <w:marBottom w:val="0"/>
              <w:divBdr>
                <w:top w:val="none" w:sz="0" w:space="0" w:color="auto"/>
                <w:left w:val="none" w:sz="0" w:space="0" w:color="auto"/>
                <w:bottom w:val="none" w:sz="0" w:space="0" w:color="auto"/>
                <w:right w:val="none" w:sz="0" w:space="0" w:color="auto"/>
              </w:divBdr>
              <w:divsChild>
                <w:div w:id="643126431">
                  <w:marLeft w:val="0"/>
                  <w:marRight w:val="0"/>
                  <w:marTop w:val="0"/>
                  <w:marBottom w:val="75"/>
                  <w:divBdr>
                    <w:top w:val="none" w:sz="0" w:space="0" w:color="auto"/>
                    <w:left w:val="none" w:sz="0" w:space="0" w:color="auto"/>
                    <w:bottom w:val="none" w:sz="0" w:space="0" w:color="auto"/>
                    <w:right w:val="none" w:sz="0" w:space="0" w:color="auto"/>
                  </w:divBdr>
                </w:div>
                <w:div w:id="1311405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8257718">
          <w:marLeft w:val="0"/>
          <w:marRight w:val="0"/>
          <w:marTop w:val="0"/>
          <w:marBottom w:val="150"/>
          <w:divBdr>
            <w:top w:val="none" w:sz="0" w:space="0" w:color="auto"/>
            <w:left w:val="none" w:sz="0" w:space="0" w:color="auto"/>
            <w:bottom w:val="none" w:sz="0" w:space="0" w:color="auto"/>
            <w:right w:val="none" w:sz="0" w:space="0" w:color="auto"/>
          </w:divBdr>
        </w:div>
      </w:divsChild>
    </w:div>
    <w:div w:id="2100369611">
      <w:bodyDiv w:val="1"/>
      <w:marLeft w:val="0"/>
      <w:marRight w:val="0"/>
      <w:marTop w:val="0"/>
      <w:marBottom w:val="0"/>
      <w:divBdr>
        <w:top w:val="none" w:sz="0" w:space="0" w:color="auto"/>
        <w:left w:val="none" w:sz="0" w:space="0" w:color="auto"/>
        <w:bottom w:val="none" w:sz="0" w:space="0" w:color="auto"/>
        <w:right w:val="none" w:sz="0" w:space="0" w:color="auto"/>
      </w:divBdr>
      <w:divsChild>
        <w:div w:id="1220169046">
          <w:marLeft w:val="0"/>
          <w:marRight w:val="0"/>
          <w:marTop w:val="0"/>
          <w:marBottom w:val="0"/>
          <w:divBdr>
            <w:top w:val="none" w:sz="0" w:space="0" w:color="auto"/>
            <w:left w:val="none" w:sz="0" w:space="0" w:color="auto"/>
            <w:bottom w:val="none" w:sz="0" w:space="0" w:color="auto"/>
            <w:right w:val="none" w:sz="0" w:space="0" w:color="auto"/>
          </w:divBdr>
          <w:divsChild>
            <w:div w:id="271521842">
              <w:marLeft w:val="0"/>
              <w:marRight w:val="0"/>
              <w:marTop w:val="0"/>
              <w:marBottom w:val="0"/>
              <w:divBdr>
                <w:top w:val="none" w:sz="0" w:space="0" w:color="auto"/>
                <w:left w:val="none" w:sz="0" w:space="0" w:color="auto"/>
                <w:bottom w:val="none" w:sz="0" w:space="0" w:color="auto"/>
                <w:right w:val="none" w:sz="0" w:space="0" w:color="auto"/>
              </w:divBdr>
              <w:divsChild>
                <w:div w:id="15378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8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93/treephys/28.2.233" TargetMode="External"/><Relationship Id="rId18" Type="http://schemas.openxmlformats.org/officeDocument/2006/relationships/hyperlink" Target="https://doi:10:1016/j.foreco.2006.02.004" TargetMode="External"/><Relationship Id="rId26" Type="http://schemas.openxmlformats.org/officeDocument/2006/relationships/hyperlink" Target="https://stateoftheworldsplants.com/2017/climate-change.html" TargetMode="External"/><Relationship Id="rId3" Type="http://schemas.openxmlformats.org/officeDocument/2006/relationships/settings" Target="settings.xml"/><Relationship Id="rId21" Type="http://schemas.openxmlformats.org/officeDocument/2006/relationships/hyperlink" Target="https://science.sciencemag.org/content/365/6448/76.full?ijkey=OxoPlV/Tcl1Ao&amp;keytype=ref&amp;siteid=sci" TargetMode="External"/><Relationship Id="rId7" Type="http://schemas.openxmlformats.org/officeDocument/2006/relationships/hyperlink" Target="http://dx.doi.org/10.3923/rjf.2015.48.57" TargetMode="External"/><Relationship Id="rId12" Type="http://schemas.openxmlformats.org/officeDocument/2006/relationships/image" Target="media/image4.png"/><Relationship Id="rId17" Type="http://schemas.openxmlformats.org/officeDocument/2006/relationships/hyperlink" Target="https://doi.org/10.5194/bg-12-5735-2015"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doi.org/10.1098/rsbl.0555" TargetMode="External"/><Relationship Id="rId20" Type="http://schemas.openxmlformats.org/officeDocument/2006/relationships/hyperlink" Target="https://science.sciencemag.org/content/365/6448/76.full?ijkey=OxoPlV/Tcl1Ao&amp;keytype=ref&amp;siteid=sci" TargetMode="External"/><Relationship Id="rId29"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028/S41586-020-2035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doi.org/10.25561/80271" TargetMode="External"/><Relationship Id="rId28"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ses.plantnet-project.org/en/Milicia_excelsa_(PROTA)" TargetMode="External"/><Relationship Id="rId14" Type="http://schemas.openxmlformats.org/officeDocument/2006/relationships/hyperlink" Target="https://doi.org/10.1007/BF00711210" TargetMode="External"/><Relationship Id="rId22" Type="http://schemas.openxmlformats.org/officeDocument/2006/relationships/hyperlink" Target="https://www.researchgate.net/deref/http%3A%2F%2Fdx.doi.org%2F10.1038%2F506153a?_sg%5B0%5D=FPcsffJifZjvlOESqJL2HaArEcqDL0PATbp7heTLrfi_G4hmXAiQOBC-NWFf_Gng1vqAo6u1-zTUqtNugaVgEDH6MA.4XXh9jTkB078Q_4n_FLLt77g-UlEp01GycwljUxnOzxszM1bwyXGO0BCQ8fYGUUOvnh_nJV4cj6lfOOxKM9Zqw" TargetMode="External"/><Relationship Id="rId27" Type="http://schemas.openxmlformats.org/officeDocument/2006/relationships/image" Target="media/image8.jpe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1020</TotalTime>
  <Pages>16</Pages>
  <Words>6608</Words>
  <Characters>37672</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Elgie</dc:creator>
  <cp:keywords/>
  <dc:description/>
  <cp:lastModifiedBy>Ian Elgie</cp:lastModifiedBy>
  <cp:revision>21</cp:revision>
  <cp:lastPrinted>2020-11-14T18:14:00Z</cp:lastPrinted>
  <dcterms:created xsi:type="dcterms:W3CDTF">2020-11-16T17:15:00Z</dcterms:created>
  <dcterms:modified xsi:type="dcterms:W3CDTF">2021-09-03T16:24:00Z</dcterms:modified>
</cp:coreProperties>
</file>